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1EA56" w14:textId="415E877A" w:rsidR="00027EEF" w:rsidRDefault="00027EEF" w:rsidP="00027EEF">
      <w:pPr>
        <w:pStyle w:val="Header"/>
        <w:rPr>
          <w:rFonts w:cs="Arial"/>
          <w:sz w:val="22"/>
          <w:szCs w:val="22"/>
        </w:rPr>
      </w:pPr>
      <w:r w:rsidRPr="00141E1D">
        <w:rPr>
          <w:rFonts w:eastAsia="SimSun" w:cs="Arial"/>
          <w:sz w:val="22"/>
          <w:szCs w:val="22"/>
          <w:lang w:eastAsia="zh-CN"/>
        </w:rPr>
        <w:t>3GPP TSG-RAN WG2 Meeting #126</w:t>
      </w:r>
      <w:r w:rsidRPr="00141E1D">
        <w:rPr>
          <w:rFonts w:eastAsia="SimSun" w:cs="Arial"/>
          <w:sz w:val="22"/>
          <w:szCs w:val="22"/>
          <w:lang w:eastAsia="zh-CN"/>
        </w:rPr>
        <w:tab/>
      </w:r>
      <w:r w:rsidRPr="00141E1D">
        <w:rPr>
          <w:rFonts w:cs="Arial"/>
          <w:sz w:val="22"/>
          <w:szCs w:val="22"/>
        </w:rPr>
        <w:tab/>
        <w:t xml:space="preserve"> </w:t>
      </w:r>
      <w:r w:rsidR="00195DDD" w:rsidRPr="00141E1D">
        <w:rPr>
          <w:rFonts w:cs="Arial"/>
          <w:sz w:val="22"/>
          <w:szCs w:val="22"/>
        </w:rPr>
        <w:tab/>
      </w:r>
      <w:r w:rsidR="00195DDD" w:rsidRPr="00141E1D">
        <w:rPr>
          <w:rFonts w:cs="Arial"/>
          <w:sz w:val="22"/>
          <w:szCs w:val="22"/>
        </w:rPr>
        <w:tab/>
      </w:r>
      <w:r w:rsidR="00195DDD" w:rsidRPr="00141E1D">
        <w:rPr>
          <w:rFonts w:cs="Arial"/>
          <w:sz w:val="22"/>
          <w:szCs w:val="22"/>
        </w:rPr>
        <w:tab/>
      </w:r>
      <w:r w:rsidR="00195DDD" w:rsidRPr="00141E1D">
        <w:rPr>
          <w:rFonts w:cs="Arial"/>
          <w:sz w:val="22"/>
          <w:szCs w:val="22"/>
        </w:rPr>
        <w:tab/>
      </w:r>
      <w:r w:rsidR="00195DDD" w:rsidRPr="00141E1D">
        <w:rPr>
          <w:rFonts w:cs="Arial"/>
          <w:sz w:val="22"/>
          <w:szCs w:val="22"/>
        </w:rPr>
        <w:tab/>
        <w:t xml:space="preserve">     </w:t>
      </w:r>
      <w:r w:rsidRPr="00141E1D">
        <w:rPr>
          <w:rFonts w:cs="Arial"/>
          <w:sz w:val="22"/>
          <w:szCs w:val="22"/>
        </w:rPr>
        <w:t>R2-2</w:t>
      </w:r>
      <w:r w:rsidR="00E345EF">
        <w:rPr>
          <w:rFonts w:cs="Arial"/>
          <w:sz w:val="22"/>
          <w:szCs w:val="22"/>
        </w:rPr>
        <w:t>4</w:t>
      </w:r>
      <w:r w:rsidR="00A84BF6" w:rsidRPr="00141E1D">
        <w:rPr>
          <w:rFonts w:cs="Arial"/>
          <w:sz w:val="22"/>
          <w:szCs w:val="22"/>
        </w:rPr>
        <w:t>0</w:t>
      </w:r>
      <w:r w:rsidR="00941959">
        <w:rPr>
          <w:rFonts w:cs="Arial"/>
          <w:sz w:val="22"/>
          <w:szCs w:val="22"/>
        </w:rPr>
        <w:t>xxxx</w:t>
      </w:r>
    </w:p>
    <w:p w14:paraId="6917FDA9" w14:textId="583BFC28" w:rsidR="00941959" w:rsidRPr="00141E1D" w:rsidRDefault="00941959" w:rsidP="00027EEF">
      <w:pPr>
        <w:pStyle w:val="Header"/>
        <w:rPr>
          <w:rFonts w:cs="Arial"/>
          <w:sz w:val="22"/>
          <w:szCs w:val="22"/>
          <w:lang w:val="en-GB" w:eastAsia="zh-CN"/>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 xml:space="preserve">        Revision of R2-2404277</w:t>
      </w:r>
    </w:p>
    <w:p w14:paraId="79D7E66A" w14:textId="77777777" w:rsidR="00027EEF" w:rsidRPr="00141E1D" w:rsidRDefault="00027EEF" w:rsidP="00027EEF">
      <w:pPr>
        <w:pStyle w:val="Header"/>
        <w:rPr>
          <w:rFonts w:eastAsia="SimSun" w:cs="Arial"/>
          <w:sz w:val="22"/>
          <w:szCs w:val="22"/>
          <w:lang w:eastAsia="zh-CN"/>
        </w:rPr>
      </w:pPr>
      <w:r w:rsidRPr="00141E1D">
        <w:rPr>
          <w:rFonts w:cs="Arial"/>
          <w:sz w:val="22"/>
          <w:szCs w:val="22"/>
        </w:rPr>
        <w:t>Fukuoka, Japan</w:t>
      </w:r>
      <w:r w:rsidRPr="00141E1D">
        <w:rPr>
          <w:rFonts w:eastAsia="SimSun" w:cs="Arial"/>
          <w:sz w:val="22"/>
          <w:szCs w:val="22"/>
          <w:lang w:eastAsia="zh-CN"/>
        </w:rPr>
        <w:t>: 20</w:t>
      </w:r>
      <w:r w:rsidRPr="00141E1D">
        <w:rPr>
          <w:rFonts w:eastAsia="SimSun" w:cs="Arial"/>
          <w:sz w:val="22"/>
          <w:szCs w:val="22"/>
          <w:vertAlign w:val="superscript"/>
          <w:lang w:eastAsia="zh-CN"/>
        </w:rPr>
        <w:t>th</w:t>
      </w:r>
      <w:r w:rsidRPr="00141E1D">
        <w:rPr>
          <w:rFonts w:eastAsia="SimSun" w:cs="Arial"/>
          <w:sz w:val="22"/>
          <w:szCs w:val="22"/>
          <w:lang w:eastAsia="zh-CN"/>
        </w:rPr>
        <w:t xml:space="preserve"> May – 24</w:t>
      </w:r>
      <w:r w:rsidRPr="00141E1D">
        <w:rPr>
          <w:rFonts w:eastAsia="SimSun" w:cs="Arial"/>
          <w:sz w:val="22"/>
          <w:szCs w:val="22"/>
          <w:vertAlign w:val="superscript"/>
          <w:lang w:eastAsia="zh-CN"/>
        </w:rPr>
        <w:t>th</w:t>
      </w:r>
      <w:r w:rsidRPr="00141E1D">
        <w:rPr>
          <w:rFonts w:eastAsia="SimSun" w:cs="Arial"/>
          <w:sz w:val="22"/>
          <w:szCs w:val="22"/>
          <w:lang w:eastAsia="zh-CN"/>
        </w:rPr>
        <w:t xml:space="preserve"> May 2024</w:t>
      </w:r>
    </w:p>
    <w:p w14:paraId="31A7F9B4" w14:textId="77777777" w:rsidR="006940BF" w:rsidRPr="00141E1D" w:rsidRDefault="006940BF" w:rsidP="006940BF">
      <w:pPr>
        <w:pStyle w:val="Header"/>
        <w:rPr>
          <w:rFonts w:eastAsia="SimSun" w:cs="Arial"/>
          <w:sz w:val="22"/>
          <w:szCs w:val="22"/>
          <w:lang w:eastAsia="zh-CN"/>
        </w:rPr>
      </w:pPr>
    </w:p>
    <w:p w14:paraId="2E1FA2FC" w14:textId="26E1CC1E" w:rsidR="00911ECB" w:rsidRPr="00141E1D" w:rsidRDefault="26A21899" w:rsidP="00BE548B">
      <w:pPr>
        <w:pStyle w:val="Header"/>
        <w:tabs>
          <w:tab w:val="clear" w:pos="4536"/>
          <w:tab w:val="left" w:pos="1800"/>
        </w:tabs>
        <w:spacing w:after="120"/>
        <w:ind w:left="1800" w:hanging="1800"/>
        <w:rPr>
          <w:rFonts w:eastAsia="SimSun" w:cs="Arial"/>
          <w:sz w:val="22"/>
          <w:szCs w:val="22"/>
          <w:lang w:eastAsia="zh-CN"/>
        </w:rPr>
      </w:pPr>
      <w:r w:rsidRPr="00141E1D">
        <w:rPr>
          <w:rFonts w:cs="Arial"/>
          <w:sz w:val="22"/>
          <w:szCs w:val="22"/>
        </w:rPr>
        <w:t>Source:</w:t>
      </w:r>
      <w:r w:rsidR="00911ECB" w:rsidRPr="00141E1D">
        <w:rPr>
          <w:rFonts w:cs="Arial"/>
        </w:rPr>
        <w:tab/>
      </w:r>
      <w:r w:rsidR="7D3BA610" w:rsidRPr="00141E1D">
        <w:rPr>
          <w:rFonts w:eastAsia="SimSun" w:cs="Arial"/>
          <w:sz w:val="22"/>
          <w:szCs w:val="22"/>
          <w:lang w:eastAsia="zh-CN"/>
        </w:rPr>
        <w:t>Qualcomm</w:t>
      </w:r>
      <w:r w:rsidR="79D32408" w:rsidRPr="00141E1D">
        <w:rPr>
          <w:rFonts w:eastAsia="SimSun" w:cs="Arial"/>
          <w:sz w:val="22"/>
          <w:szCs w:val="22"/>
          <w:lang w:eastAsia="zh-CN"/>
        </w:rPr>
        <w:t xml:space="preserve"> Incorporated </w:t>
      </w:r>
    </w:p>
    <w:p w14:paraId="2EC1765B" w14:textId="104218C0" w:rsidR="00FF5D17" w:rsidRPr="00141E1D"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141E1D">
        <w:rPr>
          <w:rFonts w:cs="Arial"/>
          <w:sz w:val="22"/>
          <w:szCs w:val="22"/>
        </w:rPr>
        <w:t>Title:</w:t>
      </w:r>
      <w:bookmarkStart w:id="0" w:name="Title"/>
      <w:bookmarkEnd w:id="0"/>
      <w:r w:rsidR="00911ECB" w:rsidRPr="00141E1D">
        <w:rPr>
          <w:rFonts w:cs="Arial"/>
        </w:rPr>
        <w:tab/>
      </w:r>
      <w:r w:rsidR="00D94F7D" w:rsidRPr="00141E1D">
        <w:rPr>
          <w:rStyle w:val="normaltextrun"/>
          <w:rFonts w:cs="Arial"/>
          <w:sz w:val="22"/>
          <w:szCs w:val="22"/>
        </w:rPr>
        <w:t>On</w:t>
      </w:r>
      <w:r w:rsidR="00737CAF" w:rsidRPr="00141E1D">
        <w:rPr>
          <w:rStyle w:val="normaltextrun"/>
          <w:rFonts w:cs="Arial"/>
          <w:sz w:val="22"/>
          <w:szCs w:val="22"/>
        </w:rPr>
        <w:t xml:space="preserve"> </w:t>
      </w:r>
      <w:r w:rsidR="00F81B03" w:rsidRPr="00141E1D">
        <w:rPr>
          <w:rStyle w:val="normaltextrun"/>
          <w:rFonts w:cs="Arial"/>
          <w:sz w:val="22"/>
          <w:szCs w:val="22"/>
        </w:rPr>
        <w:t xml:space="preserve">UE Side Data Collection </w:t>
      </w:r>
    </w:p>
    <w:p w14:paraId="6ED5674A" w14:textId="186D03A9" w:rsidR="00911ECB" w:rsidRPr="00141E1D"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141E1D">
        <w:rPr>
          <w:rFonts w:cs="Arial"/>
          <w:sz w:val="22"/>
          <w:szCs w:val="22"/>
        </w:rPr>
        <w:t>Agenda Item:</w:t>
      </w:r>
      <w:bookmarkStart w:id="1" w:name="Source"/>
      <w:bookmarkEnd w:id="1"/>
      <w:r w:rsidR="00911ECB" w:rsidRPr="00141E1D">
        <w:rPr>
          <w:rFonts w:cs="Arial"/>
        </w:rPr>
        <w:tab/>
      </w:r>
      <w:r w:rsidR="00531940" w:rsidRPr="00141E1D">
        <w:rPr>
          <w:rFonts w:cs="Arial"/>
          <w:sz w:val="22"/>
          <w:szCs w:val="22"/>
        </w:rPr>
        <w:t>8.1.</w:t>
      </w:r>
      <w:r w:rsidR="00F81B03" w:rsidRPr="00141E1D">
        <w:rPr>
          <w:rFonts w:cs="Arial"/>
          <w:sz w:val="22"/>
          <w:szCs w:val="22"/>
        </w:rPr>
        <w:t>4</w:t>
      </w:r>
      <w:r w:rsidR="00531940" w:rsidRPr="00141E1D">
        <w:rPr>
          <w:rFonts w:cs="Arial"/>
          <w:sz w:val="22"/>
          <w:szCs w:val="22"/>
        </w:rPr>
        <w:t xml:space="preserve"> </w:t>
      </w:r>
      <w:r w:rsidR="00F81B03" w:rsidRPr="00141E1D">
        <w:rPr>
          <w:rFonts w:cs="Arial"/>
          <w:sz w:val="22"/>
          <w:szCs w:val="22"/>
        </w:rPr>
        <w:t>UE side data collection</w:t>
      </w:r>
      <w:r w:rsidR="39E772BE" w:rsidRPr="00141E1D">
        <w:rPr>
          <w:rFonts w:cs="Arial"/>
          <w:sz w:val="22"/>
          <w:szCs w:val="22"/>
        </w:rPr>
        <w:t xml:space="preserve"> </w:t>
      </w:r>
    </w:p>
    <w:p w14:paraId="0BE87C8B" w14:textId="77777777" w:rsidR="00911ECB" w:rsidRPr="00141E1D" w:rsidRDefault="26A21899" w:rsidP="00BE548B">
      <w:pPr>
        <w:pStyle w:val="Header"/>
        <w:tabs>
          <w:tab w:val="left" w:pos="1800"/>
        </w:tabs>
        <w:rPr>
          <w:rFonts w:eastAsia="SimSun" w:cs="Arial"/>
          <w:sz w:val="22"/>
          <w:szCs w:val="22"/>
          <w:lang w:eastAsia="zh-CN"/>
        </w:rPr>
      </w:pPr>
      <w:r w:rsidRPr="00141E1D">
        <w:rPr>
          <w:rFonts w:cs="Arial"/>
          <w:sz w:val="22"/>
          <w:szCs w:val="22"/>
        </w:rPr>
        <w:t>Document for:</w:t>
      </w:r>
      <w:r w:rsidR="00911ECB" w:rsidRPr="00141E1D">
        <w:rPr>
          <w:rFonts w:cs="Arial"/>
        </w:rPr>
        <w:tab/>
      </w:r>
      <w:bookmarkStart w:id="2" w:name="DocumentFor"/>
      <w:bookmarkEnd w:id="2"/>
      <w:r w:rsidRPr="00141E1D">
        <w:rPr>
          <w:rFonts w:eastAsia="SimSun" w:cs="Arial"/>
          <w:sz w:val="22"/>
          <w:szCs w:val="22"/>
          <w:lang w:eastAsia="zh-CN"/>
        </w:rPr>
        <w:t>Discussion and Decision</w:t>
      </w:r>
    </w:p>
    <w:p w14:paraId="70FEA14E" w14:textId="18838F09" w:rsidR="00911ECB" w:rsidRPr="00141E1D" w:rsidRDefault="26A21899" w:rsidP="00BE548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141E1D">
        <w:rPr>
          <w:b w:val="0"/>
          <w:bCs w:val="0"/>
          <w:kern w:val="0"/>
          <w:lang w:eastAsia="en-GB"/>
        </w:rPr>
        <w:t>Introduction</w:t>
      </w:r>
      <w:r w:rsidRPr="00141E1D">
        <w:rPr>
          <w:b w:val="0"/>
          <w:bCs w:val="0"/>
          <w:kern w:val="0"/>
        </w:rPr>
        <w:t xml:space="preserve"> &amp; Background</w:t>
      </w:r>
    </w:p>
    <w:p w14:paraId="2FD819C4" w14:textId="6E804688" w:rsidR="005B29C5" w:rsidRPr="00141E1D" w:rsidRDefault="005B29C5" w:rsidP="005B29C5">
      <w:pPr>
        <w:pStyle w:val="BodyText"/>
        <w:jc w:val="left"/>
        <w:rPr>
          <w:rFonts w:ascii="Arial" w:hAnsi="Arial" w:cs="Arial"/>
        </w:rPr>
      </w:pPr>
      <w:r w:rsidRPr="00141E1D">
        <w:rPr>
          <w:rFonts w:ascii="Arial" w:hAnsi="Arial" w:cs="Arial"/>
        </w:rPr>
        <w:t>The Rel-18 study on AI/ML Air Interface [1] has been concluded. The study has been captured in the Technical Report TR 38.843 [2]. Based on the Rel-18 study outcome, at RAN #102, a new Work Item on artificial intelligence/machine learning for NR air interface has been approved in [3</w:t>
      </w:r>
      <w:r w:rsidR="001A41E2" w:rsidRPr="00141E1D">
        <w:rPr>
          <w:rFonts w:ascii="Arial" w:hAnsi="Arial" w:cs="Arial"/>
        </w:rPr>
        <w:t>].</w:t>
      </w:r>
    </w:p>
    <w:p w14:paraId="5CBD35EA" w14:textId="38770976" w:rsidR="00D10031" w:rsidRPr="00141E1D" w:rsidRDefault="005B29C5" w:rsidP="00BE548B">
      <w:pPr>
        <w:pStyle w:val="BodyText"/>
        <w:jc w:val="left"/>
        <w:rPr>
          <w:rFonts w:ascii="Arial" w:hAnsi="Arial" w:cs="Arial"/>
        </w:rPr>
      </w:pPr>
      <w:r w:rsidRPr="00141E1D">
        <w:rPr>
          <w:rFonts w:ascii="Arial" w:hAnsi="Arial" w:cs="Arial"/>
        </w:rPr>
        <w:t xml:space="preserve"> </w:t>
      </w:r>
      <w:r w:rsidR="002306D7" w:rsidRPr="00141E1D">
        <w:rPr>
          <w:rFonts w:ascii="Arial" w:hAnsi="Arial" w:cs="Arial"/>
        </w:rPr>
        <w:t>Th</w:t>
      </w:r>
      <w:r w:rsidR="00CF3A61" w:rsidRPr="00141E1D">
        <w:rPr>
          <w:rFonts w:ascii="Arial" w:hAnsi="Arial" w:cs="Arial"/>
        </w:rPr>
        <w:t>e</w:t>
      </w:r>
      <w:r w:rsidR="00675B27" w:rsidRPr="00141E1D">
        <w:rPr>
          <w:rFonts w:ascii="Arial" w:hAnsi="Arial" w:cs="Arial"/>
        </w:rPr>
        <w:t xml:space="preserve"> Rel-19 WI</w:t>
      </w:r>
      <w:r w:rsidR="002306D7" w:rsidRPr="00141E1D">
        <w:rPr>
          <w:rFonts w:ascii="Arial" w:hAnsi="Arial" w:cs="Arial"/>
        </w:rPr>
        <w:t xml:space="preserve"> </w:t>
      </w:r>
      <w:r w:rsidR="00CF3A61" w:rsidRPr="00141E1D">
        <w:rPr>
          <w:rFonts w:ascii="Arial" w:hAnsi="Arial" w:cs="Arial"/>
        </w:rPr>
        <w:t>“a new Work Item on artificial intelligence/machine learning for NR air interface” [3] describes the study objectives for the UE-side data collection as follows:</w:t>
      </w:r>
      <w:r w:rsidR="002306D7" w:rsidRPr="00141E1D">
        <w:rPr>
          <w:rFonts w:ascii="Arial" w:hAnsi="Arial" w:cs="Arial"/>
        </w:rPr>
        <w:t xml:space="preserve"> </w:t>
      </w:r>
    </w:p>
    <w:tbl>
      <w:tblPr>
        <w:tblStyle w:val="TableGrid"/>
        <w:tblW w:w="0" w:type="auto"/>
        <w:tblLook w:val="04A0" w:firstRow="1" w:lastRow="0" w:firstColumn="1" w:lastColumn="0" w:noHBand="0" w:noVBand="1"/>
      </w:tblPr>
      <w:tblGrid>
        <w:gridCol w:w="13945"/>
      </w:tblGrid>
      <w:tr w:rsidR="00D10031" w:rsidRPr="00141E1D" w14:paraId="319B3FD7" w14:textId="77777777" w:rsidTr="00CF3A61">
        <w:tc>
          <w:tcPr>
            <w:tcW w:w="13945" w:type="dxa"/>
          </w:tcPr>
          <w:p w14:paraId="12656A7F" w14:textId="77777777" w:rsidR="00D10031" w:rsidRPr="00141E1D" w:rsidRDefault="00D10031" w:rsidP="00D10031">
            <w:pPr>
              <w:numPr>
                <w:ilvl w:val="0"/>
                <w:numId w:val="23"/>
              </w:numPr>
              <w:overflowPunct w:val="0"/>
              <w:autoSpaceDE w:val="0"/>
              <w:autoSpaceDN w:val="0"/>
              <w:adjustRightInd w:val="0"/>
              <w:rPr>
                <w:rFonts w:ascii="Arial" w:hAnsi="Arial" w:cs="Arial"/>
                <w:bCs/>
              </w:rPr>
            </w:pPr>
            <w:r w:rsidRPr="00141E1D">
              <w:rPr>
                <w:rFonts w:ascii="Arial" w:hAnsi="Arial" w:cs="Arial"/>
                <w:bCs/>
              </w:rPr>
              <w:t xml:space="preserve">CN/OAM/OTT collection of UE-sided model training data [RAN2/RAN1]: </w:t>
            </w:r>
          </w:p>
          <w:p w14:paraId="57B33D89" w14:textId="77777777" w:rsidR="00D10031" w:rsidRPr="00141E1D" w:rsidRDefault="00D10031" w:rsidP="00D10031">
            <w:pPr>
              <w:numPr>
                <w:ilvl w:val="1"/>
                <w:numId w:val="23"/>
              </w:numPr>
              <w:overflowPunct w:val="0"/>
              <w:autoSpaceDE w:val="0"/>
              <w:autoSpaceDN w:val="0"/>
              <w:adjustRightInd w:val="0"/>
              <w:rPr>
                <w:rFonts w:ascii="Arial" w:hAnsi="Arial" w:cs="Arial"/>
                <w:bCs/>
              </w:rPr>
            </w:pPr>
            <w:r w:rsidRPr="00141E1D">
              <w:rPr>
                <w:rFonts w:ascii="Arial" w:hAnsi="Arial" w:cs="Arial"/>
                <w:bCs/>
              </w:rPr>
              <w:t xml:space="preserve">For the </w:t>
            </w:r>
            <w:proofErr w:type="spellStart"/>
            <w:r w:rsidRPr="00141E1D">
              <w:rPr>
                <w:rFonts w:ascii="Arial" w:hAnsi="Arial" w:cs="Arial"/>
                <w:bCs/>
              </w:rPr>
              <w:t>FS_NR_AIML_Air</w:t>
            </w:r>
            <w:proofErr w:type="spellEnd"/>
            <w:r w:rsidRPr="00141E1D">
              <w:rPr>
                <w:rFonts w:ascii="Arial" w:hAnsi="Arial" w:cs="Arial"/>
                <w:bCs/>
              </w:rPr>
              <w:t xml:space="preserve"> study use cases, identify the corresponding contents of UE data </w:t>
            </w:r>
            <w:proofErr w:type="gramStart"/>
            <w:r w:rsidRPr="00141E1D">
              <w:rPr>
                <w:rFonts w:ascii="Arial" w:hAnsi="Arial" w:cs="Arial"/>
                <w:bCs/>
              </w:rPr>
              <w:t>collection</w:t>
            </w:r>
            <w:proofErr w:type="gramEnd"/>
          </w:p>
          <w:p w14:paraId="0D0C72C2" w14:textId="27F9165E" w:rsidR="00D10031" w:rsidRPr="00141E1D" w:rsidRDefault="00D10031" w:rsidP="00BE548B">
            <w:pPr>
              <w:numPr>
                <w:ilvl w:val="1"/>
                <w:numId w:val="23"/>
              </w:numPr>
              <w:overflowPunct w:val="0"/>
              <w:autoSpaceDE w:val="0"/>
              <w:autoSpaceDN w:val="0"/>
              <w:adjustRightInd w:val="0"/>
              <w:rPr>
                <w:rFonts w:ascii="Arial" w:hAnsi="Arial" w:cs="Arial"/>
                <w:bCs/>
              </w:rPr>
            </w:pPr>
            <w:proofErr w:type="spellStart"/>
            <w:r w:rsidRPr="00141E1D">
              <w:rPr>
                <w:rFonts w:ascii="Arial" w:hAnsi="Arial" w:cs="Arial"/>
                <w:bCs/>
              </w:rPr>
              <w:t>Analyse</w:t>
            </w:r>
            <w:proofErr w:type="spellEnd"/>
            <w:r w:rsidRPr="00141E1D">
              <w:rPr>
                <w:rFonts w:ascii="Arial" w:hAnsi="Arial" w:cs="Arial"/>
                <w:bCs/>
              </w:rPr>
              <w:t xml:space="preserve"> the UE data collection mechanisms identified during the </w:t>
            </w:r>
            <w:proofErr w:type="spellStart"/>
            <w:r w:rsidRPr="00141E1D">
              <w:rPr>
                <w:rFonts w:ascii="Arial" w:hAnsi="Arial" w:cs="Arial"/>
                <w:bCs/>
              </w:rPr>
              <w:t>FS_NR_AIML_Air</w:t>
            </w:r>
            <w:proofErr w:type="spellEnd"/>
            <w:r w:rsidRPr="00141E1D">
              <w:rPr>
                <w:rFonts w:ascii="Arial" w:hAnsi="Arial" w:cs="Arial"/>
                <w:bCs/>
              </w:rPr>
              <w:t xml:space="preserve"> (TR 38.843 section 7.2.1.3.2) study along with the implications and limitations of each of the methods </w:t>
            </w:r>
          </w:p>
        </w:tc>
      </w:tr>
    </w:tbl>
    <w:p w14:paraId="188C5A33" w14:textId="649E0252" w:rsidR="008B66E8" w:rsidRPr="00141E1D" w:rsidRDefault="008B66E8" w:rsidP="00BE548B">
      <w:pPr>
        <w:pStyle w:val="BodyText"/>
        <w:jc w:val="left"/>
        <w:rPr>
          <w:rFonts w:ascii="Arial" w:hAnsi="Arial" w:cs="Arial"/>
        </w:rPr>
      </w:pPr>
    </w:p>
    <w:p w14:paraId="615CAD07" w14:textId="5B9592BC" w:rsidR="00CF3A61" w:rsidRPr="00141E1D" w:rsidRDefault="00CF3A61" w:rsidP="00BE548B">
      <w:pPr>
        <w:pStyle w:val="BodyText"/>
        <w:jc w:val="left"/>
        <w:rPr>
          <w:rFonts w:ascii="Arial" w:hAnsi="Arial" w:cs="Arial"/>
        </w:rPr>
      </w:pPr>
      <w:r w:rsidRPr="00141E1D">
        <w:rPr>
          <w:rFonts w:ascii="Arial" w:hAnsi="Arial" w:cs="Arial"/>
        </w:rPr>
        <w:t xml:space="preserve">In the RAN2#125bis meeting [4], RAN2 agreed to have an [Post125bis] email discussion to capture companies' views on UE-side data collection discussing different aspects, such as termination entities, MNO visibility, controllability, privacy, and others. The rapporteur of the email discussion has </w:t>
      </w:r>
      <w:proofErr w:type="spellStart"/>
      <w:r w:rsidRPr="00141E1D">
        <w:rPr>
          <w:rFonts w:ascii="Arial" w:hAnsi="Arial" w:cs="Arial"/>
        </w:rPr>
        <w:t>summarised</w:t>
      </w:r>
      <w:proofErr w:type="spellEnd"/>
      <w:r w:rsidRPr="00141E1D">
        <w:rPr>
          <w:rFonts w:ascii="Arial" w:hAnsi="Arial" w:cs="Arial"/>
        </w:rPr>
        <w:t xml:space="preserve"> companies' inputs in the below proposals and table: </w:t>
      </w:r>
    </w:p>
    <w:tbl>
      <w:tblPr>
        <w:tblStyle w:val="TableGrid"/>
        <w:tblW w:w="0" w:type="auto"/>
        <w:tblLook w:val="04A0" w:firstRow="1" w:lastRow="0" w:firstColumn="1" w:lastColumn="0" w:noHBand="0" w:noVBand="1"/>
      </w:tblPr>
      <w:tblGrid>
        <w:gridCol w:w="13945"/>
      </w:tblGrid>
      <w:tr w:rsidR="00CF3A61" w:rsidRPr="00141E1D" w14:paraId="73A7EB15" w14:textId="77777777" w:rsidTr="00CF3A61">
        <w:tc>
          <w:tcPr>
            <w:tcW w:w="13945" w:type="dxa"/>
          </w:tcPr>
          <w:p w14:paraId="39C65565" w14:textId="77777777" w:rsidR="00CF3A61" w:rsidRPr="00141E1D" w:rsidRDefault="00CF3A61" w:rsidP="00CF3A61">
            <w:pPr>
              <w:pStyle w:val="BodyText"/>
              <w:snapToGrid w:val="0"/>
              <w:spacing w:before="240" w:line="480" w:lineRule="auto"/>
              <w:rPr>
                <w:rFonts w:ascii="Arial" w:hAnsi="Arial" w:cs="Arial"/>
                <w:b/>
                <w:szCs w:val="20"/>
                <w:u w:val="single"/>
              </w:rPr>
            </w:pPr>
            <w:bookmarkStart w:id="5" w:name="OLE_LINK635"/>
            <w:bookmarkStart w:id="6" w:name="OLE_LINK612"/>
            <w:r w:rsidRPr="00141E1D">
              <w:rPr>
                <w:rFonts w:ascii="Arial" w:hAnsi="Arial" w:cs="Arial"/>
                <w:b/>
                <w:bCs/>
                <w:u w:val="single"/>
              </w:rPr>
              <w:t>Termination Entity</w:t>
            </w:r>
          </w:p>
          <w:p w14:paraId="08C6CBA0" w14:textId="77777777" w:rsidR="00CF3A61" w:rsidRPr="00141E1D" w:rsidRDefault="00CF3A61" w:rsidP="00CF3A61">
            <w:pPr>
              <w:pStyle w:val="BodyText"/>
              <w:rPr>
                <w:rFonts w:ascii="Arial" w:hAnsi="Arial" w:cs="Arial"/>
                <w:b/>
                <w:bCs/>
                <w:u w:val="single"/>
              </w:rPr>
            </w:pPr>
            <w:r w:rsidRPr="00141E1D">
              <w:rPr>
                <w:rFonts w:ascii="Arial" w:hAnsi="Arial" w:cs="Arial"/>
                <w:b/>
                <w:bCs/>
                <w:highlight w:val="green"/>
              </w:rPr>
              <w:t>Proposal 1: [27/29]</w:t>
            </w:r>
            <w:r w:rsidRPr="00141E1D">
              <w:rPr>
                <w:rFonts w:ascii="Arial" w:hAnsi="Arial" w:cs="Arial"/>
                <w:b/>
                <w:bCs/>
              </w:rPr>
              <w:t xml:space="preserve"> Replace the term ‘OTT server’ with ‘server for </w:t>
            </w:r>
            <w:bookmarkStart w:id="7" w:name="OLE_LINK632"/>
            <w:r w:rsidRPr="00141E1D">
              <w:rPr>
                <w:rFonts w:ascii="Arial" w:hAnsi="Arial" w:cs="Arial"/>
                <w:b/>
                <w:bCs/>
              </w:rPr>
              <w:t>training data collection for UE-side models</w:t>
            </w:r>
            <w:bookmarkEnd w:id="7"/>
            <w:r w:rsidRPr="00141E1D">
              <w:rPr>
                <w:rFonts w:ascii="Arial" w:hAnsi="Arial" w:cs="Arial"/>
                <w:b/>
                <w:bCs/>
              </w:rPr>
              <w:t>’ in the definitions/descriptions of solution 1b, 2, and 3.</w:t>
            </w:r>
          </w:p>
          <w:p w14:paraId="4D7E7AFD" w14:textId="77777777" w:rsidR="00CF3A61" w:rsidRPr="00141E1D" w:rsidRDefault="00CF3A61" w:rsidP="00CF3A61">
            <w:pPr>
              <w:pStyle w:val="BodyText"/>
              <w:snapToGrid w:val="0"/>
              <w:spacing w:before="240" w:line="480" w:lineRule="auto"/>
              <w:rPr>
                <w:rFonts w:ascii="Arial" w:hAnsi="Arial" w:cs="Arial"/>
                <w:b/>
                <w:bCs/>
                <w:u w:val="single"/>
              </w:rPr>
            </w:pPr>
            <w:r w:rsidRPr="00141E1D">
              <w:rPr>
                <w:rFonts w:ascii="Arial" w:hAnsi="Arial" w:cs="Arial"/>
                <w:b/>
                <w:bCs/>
                <w:u w:val="single"/>
              </w:rPr>
              <w:t>Inside/outside MNO’s network</w:t>
            </w:r>
          </w:p>
          <w:p w14:paraId="084108CA" w14:textId="77777777" w:rsidR="00CF3A61" w:rsidRPr="00141E1D" w:rsidRDefault="00CF3A61" w:rsidP="00CF3A61">
            <w:pPr>
              <w:pStyle w:val="BodyText"/>
              <w:rPr>
                <w:rFonts w:ascii="Arial" w:hAnsi="Arial" w:cs="Arial"/>
                <w:b/>
                <w:bCs/>
              </w:rPr>
            </w:pPr>
            <w:r w:rsidRPr="00141E1D">
              <w:rPr>
                <w:rFonts w:ascii="Arial" w:hAnsi="Arial" w:cs="Arial"/>
                <w:b/>
                <w:bCs/>
              </w:rPr>
              <w:lastRenderedPageBreak/>
              <w:t>Observation 1: [18/25] Majority of the companies assume that a server located within the MNO's network is deemed to be MNO-owned. The implication and interpretation of ‘inside/outside of MNO’s network’ needs to be discussed further.</w:t>
            </w:r>
          </w:p>
          <w:p w14:paraId="41FAEECC"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2: [26/28]</w:t>
            </w:r>
            <w:r w:rsidRPr="00141E1D">
              <w:rPr>
                <w:rFonts w:ascii="Arial" w:hAnsi="Arial" w:cs="Arial"/>
                <w:b/>
                <w:bCs/>
              </w:rPr>
              <w:t xml:space="preserve"> For solution 1a the server for UE-side data collection is outside of MNO’s network and is therefore classified as an OTT server. From RAN2 perspective, solution 1a is outside the scope and has no specification impact.</w:t>
            </w:r>
          </w:p>
          <w:p w14:paraId="52A7D18A"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3: [23/28]</w:t>
            </w:r>
            <w:r w:rsidRPr="00141E1D">
              <w:rPr>
                <w:rFonts w:ascii="Arial" w:hAnsi="Arial" w:cs="Arial"/>
                <w:b/>
                <w:bCs/>
              </w:rPr>
              <w:t xml:space="preserve"> RAN2 assumes that for solution 2, the server for UE-side data collection can be inside MNO’s network. FFS on outside MNO’s network.</w:t>
            </w:r>
          </w:p>
          <w:p w14:paraId="0B1E7546" w14:textId="77777777" w:rsidR="00CF3A61" w:rsidRPr="00141E1D" w:rsidRDefault="00CF3A61" w:rsidP="00CF3A61">
            <w:pPr>
              <w:pStyle w:val="BodyText"/>
              <w:rPr>
                <w:rFonts w:ascii="Arial" w:hAnsi="Arial" w:cs="Arial"/>
                <w:b/>
                <w:bCs/>
                <w:u w:val="single"/>
              </w:rPr>
            </w:pPr>
            <w:r w:rsidRPr="00141E1D">
              <w:rPr>
                <w:rFonts w:ascii="Arial" w:hAnsi="Arial" w:cs="Arial"/>
                <w:b/>
                <w:bCs/>
                <w:highlight w:val="green"/>
              </w:rPr>
              <w:t>Proposal 4: [21/28]</w:t>
            </w:r>
            <w:r w:rsidRPr="00141E1D">
              <w:rPr>
                <w:rFonts w:ascii="Arial" w:hAnsi="Arial" w:cs="Arial"/>
                <w:b/>
                <w:bCs/>
              </w:rPr>
              <w:t xml:space="preserve"> RAN2 assumes that for solution 3, the server for UE-side data collection can be inside MNO’s network. FFS on outside MNO’s network.</w:t>
            </w:r>
          </w:p>
          <w:p w14:paraId="2A85C59D" w14:textId="77777777" w:rsidR="00CF3A61" w:rsidRPr="00141E1D" w:rsidRDefault="00CF3A61" w:rsidP="00CF3A61">
            <w:pPr>
              <w:pStyle w:val="BodyText"/>
              <w:snapToGrid w:val="0"/>
              <w:spacing w:before="240" w:line="480" w:lineRule="auto"/>
              <w:rPr>
                <w:rFonts w:ascii="Arial" w:hAnsi="Arial" w:cs="Arial"/>
                <w:b/>
                <w:bCs/>
                <w:u w:val="single"/>
              </w:rPr>
            </w:pPr>
            <w:r w:rsidRPr="00141E1D">
              <w:rPr>
                <w:rFonts w:ascii="Arial" w:hAnsi="Arial" w:cs="Arial"/>
                <w:b/>
                <w:bCs/>
                <w:u w:val="single"/>
              </w:rPr>
              <w:t>Termination Entity</w:t>
            </w:r>
          </w:p>
          <w:p w14:paraId="68FAE0F0"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5: [29/30]</w:t>
            </w:r>
            <w:r w:rsidRPr="00141E1D">
              <w:rPr>
                <w:rFonts w:ascii="Arial" w:hAnsi="Arial" w:cs="Arial"/>
                <w:b/>
                <w:bCs/>
              </w:rPr>
              <w:t xml:space="preserve"> For solutions 1a the first termination entity of UE-side data collection is the OTT server.</w:t>
            </w:r>
          </w:p>
          <w:p w14:paraId="7B944D45"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6: [25/28]</w:t>
            </w:r>
            <w:r w:rsidRPr="00141E1D">
              <w:rPr>
                <w:rFonts w:ascii="Arial" w:hAnsi="Arial" w:cs="Arial"/>
                <w:b/>
                <w:bCs/>
              </w:rPr>
              <w:t xml:space="preserve"> For solutions 1b the first termination entity is the server for UE-side data collection. FFS the server is inside or outside of MNO.</w:t>
            </w:r>
          </w:p>
          <w:p w14:paraId="03655A77"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7: [29/31]</w:t>
            </w:r>
            <w:r w:rsidRPr="00141E1D">
              <w:rPr>
                <w:rFonts w:ascii="Arial" w:hAnsi="Arial" w:cs="Arial"/>
                <w:b/>
                <w:bCs/>
              </w:rPr>
              <w:t xml:space="preserve"> For solutions 2 the first termination entity of UE-side data collection is inside the CN.</w:t>
            </w:r>
          </w:p>
          <w:p w14:paraId="624C2739" w14:textId="77777777" w:rsidR="00CF3A61" w:rsidRPr="00141E1D" w:rsidRDefault="00CF3A61" w:rsidP="00CF3A61">
            <w:pPr>
              <w:pStyle w:val="BodyText"/>
              <w:rPr>
                <w:rFonts w:ascii="Arial" w:hAnsi="Arial" w:cs="Arial"/>
                <w:b/>
                <w:bCs/>
                <w:u w:val="single"/>
              </w:rPr>
            </w:pPr>
            <w:r w:rsidRPr="00141E1D">
              <w:rPr>
                <w:rFonts w:ascii="Arial" w:hAnsi="Arial" w:cs="Arial"/>
                <w:b/>
                <w:bCs/>
                <w:highlight w:val="green"/>
              </w:rPr>
              <w:t>Proposal 8: [29/31]</w:t>
            </w:r>
            <w:r w:rsidRPr="00141E1D">
              <w:rPr>
                <w:rFonts w:ascii="Arial" w:hAnsi="Arial" w:cs="Arial"/>
                <w:b/>
                <w:bCs/>
              </w:rPr>
              <w:t xml:space="preserve"> For solutions 3 the first termination entity of UE-side data collection is the OAM.</w:t>
            </w:r>
          </w:p>
          <w:p w14:paraId="1E89A50E" w14:textId="77777777" w:rsidR="00CF3A61" w:rsidRPr="00141E1D" w:rsidRDefault="00CF3A61" w:rsidP="00CF3A61">
            <w:pPr>
              <w:pStyle w:val="BodyText"/>
              <w:snapToGrid w:val="0"/>
              <w:spacing w:before="240" w:line="480" w:lineRule="auto"/>
              <w:rPr>
                <w:rFonts w:ascii="Arial" w:hAnsi="Arial" w:cs="Arial"/>
                <w:b/>
                <w:bCs/>
                <w:u w:val="single"/>
              </w:rPr>
            </w:pPr>
            <w:r w:rsidRPr="00141E1D">
              <w:rPr>
                <w:rFonts w:ascii="Arial" w:hAnsi="Arial" w:cs="Arial"/>
                <w:b/>
                <w:bCs/>
                <w:u w:val="single"/>
              </w:rPr>
              <w:t>Controllability for transfer of the collected data</w:t>
            </w:r>
          </w:p>
          <w:p w14:paraId="218DBA6B" w14:textId="77777777" w:rsidR="00CF3A61" w:rsidRPr="00141E1D" w:rsidRDefault="00CF3A61" w:rsidP="00CF3A61">
            <w:pPr>
              <w:pStyle w:val="BodyText"/>
              <w:rPr>
                <w:rFonts w:ascii="Arial" w:hAnsi="Arial" w:cs="Arial"/>
                <w:b/>
                <w:bCs/>
              </w:rPr>
            </w:pPr>
            <w:r w:rsidRPr="00141E1D">
              <w:rPr>
                <w:rFonts w:ascii="Arial" w:hAnsi="Arial" w:cs="Arial"/>
                <w:b/>
                <w:bCs/>
              </w:rPr>
              <w:t>Observation 2: RAN2 starts the discussion on data transfer controllability for UE-side data collection based on the initial assumptions on the following dimensions, which don’t exclude any other aspects and are subject to future revision:</w:t>
            </w:r>
          </w:p>
          <w:p w14:paraId="5535546A" w14:textId="77777777" w:rsidR="00CF3A61" w:rsidRPr="00141E1D" w:rsidRDefault="00CF3A61" w:rsidP="00CF3A61">
            <w:pPr>
              <w:pStyle w:val="BodyText"/>
              <w:numPr>
                <w:ilvl w:val="0"/>
                <w:numId w:val="29"/>
              </w:numPr>
              <w:overflowPunct w:val="0"/>
              <w:autoSpaceDE w:val="0"/>
              <w:autoSpaceDN w:val="0"/>
              <w:adjustRightInd w:val="0"/>
              <w:rPr>
                <w:rFonts w:ascii="Arial" w:hAnsi="Arial" w:cs="Arial"/>
                <w:b/>
                <w:bCs/>
              </w:rPr>
            </w:pPr>
            <w:r w:rsidRPr="00141E1D">
              <w:rPr>
                <w:rFonts w:ascii="Arial" w:hAnsi="Arial" w:cs="Arial"/>
                <w:b/>
                <w:bCs/>
              </w:rPr>
              <w:t>The MNO's ability to manage (e.g., allow/disallow, initiate/terminate, prioritize/de-prioritize, etc.) the data transfer to and from the server for UE-side data collection.</w:t>
            </w:r>
          </w:p>
          <w:p w14:paraId="79F45386" w14:textId="77777777" w:rsidR="00CF3A61" w:rsidRPr="00141E1D" w:rsidRDefault="00CF3A61" w:rsidP="00CF3A61">
            <w:pPr>
              <w:pStyle w:val="BodyText"/>
              <w:numPr>
                <w:ilvl w:val="0"/>
                <w:numId w:val="29"/>
              </w:numPr>
              <w:overflowPunct w:val="0"/>
              <w:autoSpaceDE w:val="0"/>
              <w:autoSpaceDN w:val="0"/>
              <w:adjustRightInd w:val="0"/>
              <w:rPr>
                <w:rFonts w:ascii="Arial" w:hAnsi="Arial" w:cs="Arial"/>
                <w:b/>
                <w:bCs/>
              </w:rPr>
            </w:pPr>
            <w:r w:rsidRPr="00141E1D">
              <w:rPr>
                <w:rFonts w:ascii="Arial" w:hAnsi="Arial" w:cs="Arial"/>
                <w:b/>
                <w:bCs/>
              </w:rPr>
              <w:t>The specific entity within the MNO to control the data transfer to and from the server for UE-side data collection.</w:t>
            </w:r>
          </w:p>
          <w:p w14:paraId="2D3546E6" w14:textId="77777777" w:rsidR="00CF3A61" w:rsidRPr="00141E1D" w:rsidRDefault="00CF3A61" w:rsidP="00CF3A61">
            <w:pPr>
              <w:pStyle w:val="BodyText"/>
              <w:numPr>
                <w:ilvl w:val="0"/>
                <w:numId w:val="29"/>
              </w:numPr>
              <w:overflowPunct w:val="0"/>
              <w:autoSpaceDE w:val="0"/>
              <w:autoSpaceDN w:val="0"/>
              <w:adjustRightInd w:val="0"/>
              <w:rPr>
                <w:rFonts w:ascii="Arial" w:hAnsi="Arial" w:cs="Arial"/>
                <w:b/>
                <w:bCs/>
              </w:rPr>
            </w:pPr>
            <w:r w:rsidRPr="00141E1D">
              <w:rPr>
                <w:rFonts w:ascii="Arial" w:hAnsi="Arial" w:cs="Arial"/>
                <w:b/>
                <w:bCs/>
              </w:rPr>
              <w:t>The protocols and methods utilized by the MNO to control the data transfer to and from the server for UE-side data collection.</w:t>
            </w:r>
          </w:p>
          <w:p w14:paraId="6FEDABE9"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9: [29/31]</w:t>
            </w:r>
            <w:r w:rsidRPr="00141E1D">
              <w:rPr>
                <w:rFonts w:ascii="Arial" w:hAnsi="Arial" w:cs="Arial"/>
                <w:b/>
                <w:bCs/>
              </w:rPr>
              <w:t xml:space="preserve"> In solution 1a), MNO has no specific controllability for transfer of the collected data for UE-side data collection. It is outside the 3GPP scope. </w:t>
            </w:r>
          </w:p>
          <w:p w14:paraId="0BE8F8FE"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10: [27/32]</w:t>
            </w:r>
            <w:r w:rsidRPr="00141E1D">
              <w:rPr>
                <w:rFonts w:ascii="Arial" w:hAnsi="Arial" w:cs="Arial"/>
                <w:b/>
                <w:bCs/>
              </w:rPr>
              <w:t xml:space="preserve"> In solution 1b), MNO has control/management over the data collection for UE-side data collection. It is FFS on the extend of control, e.g., partial control or full control. </w:t>
            </w:r>
          </w:p>
          <w:p w14:paraId="03A4D8C2" w14:textId="77777777" w:rsidR="00CF3A61" w:rsidRPr="00141E1D" w:rsidRDefault="00CF3A61" w:rsidP="00CF3A61">
            <w:pPr>
              <w:pStyle w:val="BodyText"/>
              <w:rPr>
                <w:rFonts w:ascii="Arial" w:hAnsi="Arial" w:cs="Arial"/>
                <w:b/>
                <w:bCs/>
              </w:rPr>
            </w:pPr>
            <w:r w:rsidRPr="00141E1D">
              <w:rPr>
                <w:rFonts w:ascii="Arial" w:hAnsi="Arial" w:cs="Arial"/>
                <w:b/>
                <w:bCs/>
                <w:highlight w:val="yellow"/>
              </w:rPr>
              <w:t>Proposal 11:</w:t>
            </w:r>
            <w:r w:rsidRPr="00141E1D">
              <w:rPr>
                <w:rFonts w:ascii="Arial" w:hAnsi="Arial" w:cs="Arial"/>
                <w:b/>
                <w:bCs/>
              </w:rPr>
              <w:t xml:space="preserve"> In solution 1b), the control conducted by the MNO over UE-side data collection can be exemplified by the management of PDU sessions in accordance with the SLA. Other examples and possibilities are not precluded. </w:t>
            </w:r>
          </w:p>
          <w:p w14:paraId="661C2B98" w14:textId="77777777" w:rsidR="00CF3A61" w:rsidRPr="00141E1D" w:rsidRDefault="00CF3A61" w:rsidP="00CF3A61">
            <w:pPr>
              <w:pStyle w:val="BodyText"/>
              <w:rPr>
                <w:rFonts w:ascii="Arial" w:hAnsi="Arial" w:cs="Arial"/>
                <w:b/>
                <w:bCs/>
              </w:rPr>
            </w:pPr>
            <w:r w:rsidRPr="00141E1D">
              <w:rPr>
                <w:rFonts w:ascii="Arial" w:hAnsi="Arial" w:cs="Arial"/>
                <w:b/>
                <w:bCs/>
                <w:highlight w:val="green"/>
              </w:rPr>
              <w:lastRenderedPageBreak/>
              <w:t>Proposal 12: [25/29]</w:t>
            </w:r>
            <w:r w:rsidRPr="00141E1D">
              <w:rPr>
                <w:rFonts w:ascii="Arial" w:hAnsi="Arial" w:cs="Arial"/>
                <w:b/>
                <w:bCs/>
              </w:rPr>
              <w:t xml:space="preserve"> In solution 2, the MNO has full controllability over the data collection for UE-side data collection. FFS on the detailed signaling and mechanism. </w:t>
            </w:r>
          </w:p>
          <w:p w14:paraId="61C14AFF"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13: [24/27]</w:t>
            </w:r>
            <w:r w:rsidRPr="00141E1D">
              <w:rPr>
                <w:rFonts w:ascii="Arial" w:hAnsi="Arial" w:cs="Arial"/>
                <w:b/>
                <w:bCs/>
              </w:rPr>
              <w:t xml:space="preserve"> In solution 3, the MNO has full controllability over the data collection for UE-side data collection, managed by OAM through RRC signaling via RAN node. </w:t>
            </w:r>
          </w:p>
          <w:p w14:paraId="4F66FE3D" w14:textId="77777777" w:rsidR="00CF3A61" w:rsidRPr="00141E1D" w:rsidRDefault="00CF3A61" w:rsidP="00CF3A61">
            <w:pPr>
              <w:pStyle w:val="BodyText"/>
              <w:rPr>
                <w:rFonts w:ascii="Arial" w:hAnsi="Arial" w:cs="Arial"/>
                <w:b/>
                <w:bCs/>
                <w:u w:val="single"/>
              </w:rPr>
            </w:pPr>
            <w:r w:rsidRPr="00141E1D">
              <w:rPr>
                <w:rFonts w:ascii="Arial" w:hAnsi="Arial" w:cs="Arial"/>
                <w:b/>
                <w:bCs/>
                <w:highlight w:val="yellow"/>
              </w:rPr>
              <w:t>Proposal 14:</w:t>
            </w:r>
            <w:r w:rsidRPr="00141E1D">
              <w:rPr>
                <w:rFonts w:ascii="Arial" w:hAnsi="Arial" w:cs="Arial"/>
                <w:b/>
                <w:bCs/>
              </w:rPr>
              <w:t xml:space="preserve"> RAN2 consider the initial definition of full controllability as the starting point, open to modification. It is described as ‘The MNO has the capability to manage data transfer to the server for UE-side data collection. This includes initiating, terminating, and fully managing the volume of data.’</w:t>
            </w:r>
          </w:p>
          <w:p w14:paraId="3D344FB0" w14:textId="77777777" w:rsidR="00CF3A61" w:rsidRPr="00141E1D" w:rsidRDefault="00CF3A61" w:rsidP="00CF3A61">
            <w:pPr>
              <w:pStyle w:val="BodyText"/>
              <w:snapToGrid w:val="0"/>
              <w:spacing w:before="240" w:line="480" w:lineRule="auto"/>
              <w:rPr>
                <w:rFonts w:ascii="Arial" w:hAnsi="Arial" w:cs="Arial"/>
                <w:b/>
                <w:bCs/>
                <w:u w:val="single"/>
              </w:rPr>
            </w:pPr>
            <w:r w:rsidRPr="00141E1D">
              <w:rPr>
                <w:rFonts w:ascii="Arial" w:hAnsi="Arial" w:cs="Arial"/>
                <w:b/>
                <w:bCs/>
                <w:u w:val="single"/>
              </w:rPr>
              <w:t>Visibility of data content in MNO</w:t>
            </w:r>
          </w:p>
          <w:p w14:paraId="1AE1F180" w14:textId="77777777" w:rsidR="00CF3A61" w:rsidRPr="00141E1D" w:rsidRDefault="00CF3A61" w:rsidP="00CF3A61">
            <w:pPr>
              <w:pStyle w:val="BodyText"/>
              <w:rPr>
                <w:rFonts w:ascii="Arial" w:hAnsi="Arial" w:cs="Arial"/>
                <w:b/>
                <w:bCs/>
              </w:rPr>
            </w:pPr>
            <w:r w:rsidRPr="00141E1D">
              <w:rPr>
                <w:rFonts w:ascii="Arial" w:hAnsi="Arial" w:cs="Arial"/>
                <w:b/>
                <w:bCs/>
                <w:highlight w:val="yellow"/>
              </w:rPr>
              <w:t>Proposal 15:</w:t>
            </w:r>
            <w:r w:rsidRPr="00141E1D">
              <w:rPr>
                <w:rFonts w:ascii="Arial" w:hAnsi="Arial" w:cs="Arial"/>
                <w:b/>
                <w:bCs/>
              </w:rPr>
              <w:t xml:space="preserve"> [19/31] As a starting point, RAN2 assumes that 'visibility' of data content signifies the capability of the MNO to, at least, be aware of, access, and comprehend the data during transfer. The scope does not exclude additional requisites, such as the ability to modify the collected data.</w:t>
            </w:r>
          </w:p>
          <w:p w14:paraId="68FA77D1"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16:</w:t>
            </w:r>
            <w:r w:rsidRPr="00141E1D">
              <w:rPr>
                <w:rFonts w:ascii="Arial" w:hAnsi="Arial" w:cs="Arial"/>
                <w:b/>
                <w:bCs/>
              </w:rPr>
              <w:t xml:space="preserve"> [25/28] RAN2 assumes that in solution 1a, MNO has no visibility of data content for UE-side data collection. </w:t>
            </w:r>
          </w:p>
          <w:p w14:paraId="6BD36F3B" w14:textId="77777777" w:rsidR="00CF3A61" w:rsidRPr="00141E1D" w:rsidRDefault="00CF3A61" w:rsidP="00CF3A61">
            <w:pPr>
              <w:pStyle w:val="BodyText"/>
              <w:rPr>
                <w:rFonts w:ascii="Arial" w:hAnsi="Arial" w:cs="Arial"/>
                <w:b/>
                <w:bCs/>
                <w:u w:val="single"/>
              </w:rPr>
            </w:pPr>
            <w:r w:rsidRPr="00141E1D">
              <w:rPr>
                <w:rFonts w:ascii="Arial" w:hAnsi="Arial" w:cs="Arial"/>
                <w:b/>
                <w:bCs/>
                <w:highlight w:val="green"/>
              </w:rPr>
              <w:t>Proposal 17:</w:t>
            </w:r>
            <w:r w:rsidRPr="00141E1D">
              <w:rPr>
                <w:rFonts w:ascii="Arial" w:hAnsi="Arial" w:cs="Arial"/>
                <w:b/>
                <w:bCs/>
              </w:rPr>
              <w:t xml:space="preserve"> [28/29] In solution 2 and 3 MNO has full visibility of data content for UE-side data collection if the data content is standardized. FFS on whether/how to make the data content visible to MNO if the data content is non-standardized. </w:t>
            </w:r>
          </w:p>
          <w:p w14:paraId="295F1043" w14:textId="77777777" w:rsidR="00CF3A61" w:rsidRPr="00141E1D" w:rsidRDefault="00CF3A61" w:rsidP="00CF3A61">
            <w:pPr>
              <w:pStyle w:val="BodyText"/>
              <w:snapToGrid w:val="0"/>
              <w:spacing w:before="240" w:line="480" w:lineRule="auto"/>
              <w:rPr>
                <w:rFonts w:ascii="Arial" w:hAnsi="Arial" w:cs="Arial"/>
                <w:b/>
                <w:bCs/>
                <w:u w:val="single"/>
              </w:rPr>
            </w:pPr>
            <w:r w:rsidRPr="00141E1D">
              <w:rPr>
                <w:rFonts w:ascii="Arial" w:hAnsi="Arial" w:cs="Arial"/>
                <w:b/>
                <w:bCs/>
                <w:u w:val="single"/>
              </w:rPr>
              <w:t xml:space="preserve">Protocol layer for data </w:t>
            </w:r>
            <w:proofErr w:type="gramStart"/>
            <w:r w:rsidRPr="00141E1D">
              <w:rPr>
                <w:rFonts w:ascii="Arial" w:hAnsi="Arial" w:cs="Arial"/>
                <w:b/>
                <w:bCs/>
                <w:u w:val="single"/>
              </w:rPr>
              <w:t>transfer</w:t>
            </w:r>
            <w:proofErr w:type="gramEnd"/>
          </w:p>
          <w:p w14:paraId="3EFFAE7C"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18: [28/31]</w:t>
            </w:r>
            <w:r w:rsidRPr="00141E1D">
              <w:rPr>
                <w:rFonts w:ascii="Arial" w:hAnsi="Arial" w:cs="Arial"/>
                <w:b/>
                <w:bCs/>
              </w:rPr>
              <w:t xml:space="preserve"> In solution 1a) and 1b) the data transfer from the UE to the server for UE-side data collection is through the application layer, utilizing a UP tunnel for transmission.</w:t>
            </w:r>
          </w:p>
          <w:p w14:paraId="71D5A435"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19: [20/31]</w:t>
            </w:r>
            <w:r w:rsidRPr="00141E1D">
              <w:rPr>
                <w:rFonts w:ascii="Arial" w:hAnsi="Arial" w:cs="Arial"/>
                <w:b/>
                <w:bCs/>
              </w:rPr>
              <w:t xml:space="preserve"> In solution 2, RAN2 assumes that data transfer from the UE to the CN, is through the NAS layer, utilizing a CP tunnel for transmission as a starting point provided that the data volume remains within the NAS signaling capacity.</w:t>
            </w:r>
          </w:p>
          <w:p w14:paraId="2C098B4D"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20: [25/31]</w:t>
            </w:r>
            <w:r w:rsidRPr="00141E1D">
              <w:rPr>
                <w:rFonts w:ascii="Arial" w:hAnsi="Arial" w:cs="Arial"/>
                <w:b/>
                <w:bCs/>
              </w:rPr>
              <w:t xml:space="preserve"> In solution 3, the baseline method for data transfer from the UE to OAM via RAN node is through the RRC layer, utilizing a CP tunnel for transmission provided that the data volume remains within the RRC signaling capacity.</w:t>
            </w:r>
          </w:p>
          <w:p w14:paraId="0531E12B" w14:textId="77777777" w:rsidR="00CF3A61" w:rsidRPr="00141E1D" w:rsidRDefault="00CF3A61" w:rsidP="00CF3A61">
            <w:pPr>
              <w:pStyle w:val="BodyText"/>
              <w:rPr>
                <w:rFonts w:ascii="Arial" w:hAnsi="Arial" w:cs="Arial"/>
                <w:b/>
                <w:bCs/>
              </w:rPr>
            </w:pPr>
            <w:r w:rsidRPr="00141E1D">
              <w:rPr>
                <w:rFonts w:ascii="Arial" w:hAnsi="Arial" w:cs="Arial"/>
                <w:b/>
                <w:bCs/>
                <w:highlight w:val="yellow"/>
              </w:rPr>
              <w:t>Proposal 21:</w:t>
            </w:r>
            <w:r w:rsidRPr="00141E1D">
              <w:rPr>
                <w:rFonts w:ascii="Arial" w:hAnsi="Arial" w:cs="Arial"/>
                <w:b/>
                <w:bCs/>
              </w:rPr>
              <w:t xml:space="preserve"> For solution 2 and 3, RAN2 should consult RAN1 on the data volume for UE-side collection and, if it exceeds RRC/NAS signaling capacity, should work with SA2/SA5 to assess the feasibility of UP tunnel.</w:t>
            </w:r>
          </w:p>
          <w:p w14:paraId="6597DA14" w14:textId="77777777" w:rsidR="00CF3A61" w:rsidRPr="00141E1D" w:rsidRDefault="00CF3A61" w:rsidP="00CF3A61">
            <w:pPr>
              <w:pStyle w:val="BodyText"/>
              <w:snapToGrid w:val="0"/>
              <w:spacing w:before="240" w:line="480" w:lineRule="auto"/>
              <w:rPr>
                <w:rFonts w:ascii="Arial" w:hAnsi="Arial" w:cs="Arial"/>
                <w:b/>
                <w:bCs/>
                <w:u w:val="single"/>
              </w:rPr>
            </w:pPr>
            <w:r w:rsidRPr="00141E1D">
              <w:rPr>
                <w:rFonts w:ascii="Arial" w:hAnsi="Arial" w:cs="Arial"/>
                <w:b/>
                <w:bCs/>
                <w:u w:val="single"/>
              </w:rPr>
              <w:t>Privacy concerns</w:t>
            </w:r>
          </w:p>
          <w:p w14:paraId="0D961898" w14:textId="77777777" w:rsidR="00CF3A61" w:rsidRPr="00141E1D" w:rsidRDefault="00CF3A61" w:rsidP="00CF3A61">
            <w:pPr>
              <w:pStyle w:val="BodyText"/>
              <w:rPr>
                <w:rFonts w:ascii="Arial" w:hAnsi="Arial" w:cs="Arial"/>
                <w:b/>
                <w:bCs/>
              </w:rPr>
            </w:pPr>
            <w:bookmarkStart w:id="8" w:name="OLE_LINK610"/>
            <w:r w:rsidRPr="00141E1D">
              <w:rPr>
                <w:rFonts w:ascii="Arial" w:hAnsi="Arial" w:cs="Arial"/>
                <w:b/>
                <w:bCs/>
                <w:highlight w:val="yellow"/>
              </w:rPr>
              <w:t>Proposal 22:</w:t>
            </w:r>
            <w:r w:rsidRPr="00141E1D">
              <w:rPr>
                <w:rFonts w:ascii="Arial" w:hAnsi="Arial" w:cs="Arial"/>
                <w:b/>
                <w:bCs/>
              </w:rPr>
              <w:t xml:space="preserve"> Capture the privacy concerns from different stakeholders as informative annexes in the TR.</w:t>
            </w:r>
          </w:p>
          <w:bookmarkEnd w:id="8"/>
          <w:p w14:paraId="523A4533" w14:textId="77777777" w:rsidR="00CF3A61" w:rsidRPr="00141E1D" w:rsidRDefault="00CF3A61" w:rsidP="00CF3A61">
            <w:pPr>
              <w:pStyle w:val="BodyText"/>
              <w:snapToGrid w:val="0"/>
              <w:spacing w:before="240" w:line="480" w:lineRule="auto"/>
              <w:rPr>
                <w:rFonts w:ascii="Arial" w:hAnsi="Arial" w:cs="Arial"/>
                <w:b/>
                <w:bCs/>
                <w:u w:val="single"/>
              </w:rPr>
            </w:pPr>
            <w:r w:rsidRPr="00141E1D">
              <w:rPr>
                <w:rFonts w:ascii="Arial" w:hAnsi="Arial" w:cs="Arial"/>
                <w:b/>
                <w:bCs/>
                <w:u w:val="single"/>
              </w:rPr>
              <w:lastRenderedPageBreak/>
              <w:t>Table</w:t>
            </w:r>
          </w:p>
          <w:p w14:paraId="32EAC582" w14:textId="0A5AF9D1" w:rsidR="00CF3A61" w:rsidRPr="00141E1D" w:rsidRDefault="00CF3A61" w:rsidP="00CF3A61">
            <w:pPr>
              <w:pStyle w:val="BodyText"/>
              <w:rPr>
                <w:rFonts w:ascii="Arial" w:hAnsi="Arial" w:cs="Arial"/>
                <w:b/>
                <w:bCs/>
              </w:rPr>
            </w:pPr>
            <w:r w:rsidRPr="00141E1D">
              <w:rPr>
                <w:rFonts w:ascii="Arial" w:hAnsi="Arial" w:cs="Arial"/>
                <w:b/>
                <w:bCs/>
                <w:highlight w:val="yellow"/>
              </w:rPr>
              <w:t>Proposal 23:</w:t>
            </w:r>
            <w:r w:rsidRPr="00141E1D">
              <w:rPr>
                <w:rFonts w:ascii="Arial" w:hAnsi="Arial" w:cs="Arial"/>
                <w:b/>
                <w:bCs/>
              </w:rPr>
              <w:t xml:space="preserve"> RAN2 endorse Table 1 to capture the characteristics of different options for UE-side data collection as the starting point for future discussion. </w:t>
            </w:r>
            <w:bookmarkEnd w:id="5"/>
            <w:bookmarkEnd w:id="6"/>
          </w:p>
        </w:tc>
      </w:tr>
    </w:tbl>
    <w:p w14:paraId="52475393" w14:textId="77777777" w:rsidR="00CF3A61" w:rsidRPr="00141E1D" w:rsidRDefault="00CF3A61" w:rsidP="00BE548B">
      <w:pPr>
        <w:pStyle w:val="BodyText"/>
        <w:jc w:val="left"/>
        <w:rPr>
          <w:rFonts w:ascii="Arial" w:hAnsi="Arial" w:cs="Arial"/>
        </w:rPr>
      </w:pPr>
    </w:p>
    <w:p w14:paraId="3E546D66" w14:textId="77777777" w:rsidR="00CF3A61" w:rsidRPr="00141E1D" w:rsidRDefault="00CF3A61" w:rsidP="00CF3A61">
      <w:pPr>
        <w:jc w:val="center"/>
        <w:rPr>
          <w:rFonts w:ascii="Arial" w:hAnsi="Arial" w:cs="Arial"/>
          <w:b/>
          <w:szCs w:val="22"/>
          <w:lang w:val="en-GB"/>
        </w:rPr>
      </w:pPr>
      <w:r w:rsidRPr="00141E1D">
        <w:rPr>
          <w:rFonts w:ascii="Arial" w:hAnsi="Arial" w:cs="Arial"/>
          <w:b/>
          <w:bCs/>
          <w:lang w:val="en-GB"/>
        </w:rPr>
        <w:t xml:space="preserve">Table 1 Characteristics of different options for </w:t>
      </w:r>
      <w:r w:rsidRPr="00141E1D">
        <w:rPr>
          <w:rFonts w:ascii="Arial" w:hAnsi="Arial" w:cs="Arial"/>
          <w:b/>
          <w:bCs/>
        </w:rPr>
        <w:t>training data collection for UE-side models</w:t>
      </w:r>
    </w:p>
    <w:tbl>
      <w:tblPr>
        <w:tblStyle w:val="TableGrid"/>
        <w:tblW w:w="13952" w:type="dxa"/>
        <w:tblLook w:val="04A0" w:firstRow="1" w:lastRow="0" w:firstColumn="1" w:lastColumn="0" w:noHBand="0" w:noVBand="1"/>
      </w:tblPr>
      <w:tblGrid>
        <w:gridCol w:w="2200"/>
        <w:gridCol w:w="2615"/>
        <w:gridCol w:w="2977"/>
        <w:gridCol w:w="3260"/>
        <w:gridCol w:w="2900"/>
      </w:tblGrid>
      <w:tr w:rsidR="00CF3A61" w:rsidRPr="00141E1D" w14:paraId="21ABB3EC" w14:textId="77777777" w:rsidTr="00CF3A61">
        <w:trPr>
          <w:trHeight w:val="374"/>
        </w:trPr>
        <w:tc>
          <w:tcPr>
            <w:tcW w:w="220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47F5BE5E" w14:textId="77777777" w:rsidR="00CF3A61" w:rsidRPr="00141E1D" w:rsidRDefault="00CF3A61">
            <w:pPr>
              <w:jc w:val="center"/>
              <w:rPr>
                <w:rFonts w:ascii="Arial" w:hAnsi="Arial" w:cs="Arial"/>
                <w:b/>
                <w:bCs/>
                <w:lang w:val="en-GB" w:eastAsia="ja-JP"/>
              </w:rPr>
            </w:pPr>
            <w:bookmarkStart w:id="9" w:name="OLE_LINK634"/>
            <w:r w:rsidRPr="00141E1D">
              <w:rPr>
                <w:rFonts w:ascii="Arial" w:hAnsi="Arial" w:cs="Arial"/>
                <w:b/>
                <w:bCs/>
                <w:lang w:val="en-GB" w:eastAsia="ja-JP"/>
              </w:rPr>
              <w:t>Aspects</w:t>
            </w:r>
          </w:p>
        </w:tc>
        <w:tc>
          <w:tcPr>
            <w:tcW w:w="2615"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3994ED99" w14:textId="77777777" w:rsidR="00CF3A61" w:rsidRPr="00141E1D" w:rsidRDefault="00CF3A61">
            <w:pPr>
              <w:jc w:val="center"/>
              <w:rPr>
                <w:rFonts w:ascii="Arial" w:hAnsi="Arial" w:cs="Arial"/>
                <w:b/>
                <w:bCs/>
                <w:lang w:val="en-GB" w:eastAsia="ja-JP"/>
              </w:rPr>
            </w:pPr>
            <w:r w:rsidRPr="00141E1D">
              <w:rPr>
                <w:rFonts w:ascii="Arial" w:hAnsi="Arial" w:cs="Arial"/>
                <w:b/>
                <w:bCs/>
                <w:lang w:val="en-GB" w:eastAsia="ja-JP"/>
              </w:rPr>
              <w:t>1a) OTT (3GPP Transparent)</w:t>
            </w:r>
          </w:p>
        </w:tc>
        <w:tc>
          <w:tcPr>
            <w:tcW w:w="2977"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216BCB12" w14:textId="77777777" w:rsidR="00CF3A61" w:rsidRPr="00141E1D" w:rsidRDefault="00CF3A61">
            <w:pPr>
              <w:jc w:val="center"/>
              <w:rPr>
                <w:rFonts w:ascii="Arial" w:hAnsi="Arial" w:cs="Arial"/>
                <w:b/>
                <w:bCs/>
                <w:lang w:val="sv-SE" w:eastAsia="ja-JP"/>
              </w:rPr>
            </w:pPr>
            <w:r w:rsidRPr="00141E1D">
              <w:rPr>
                <w:rFonts w:ascii="Arial" w:hAnsi="Arial" w:cs="Arial"/>
                <w:b/>
                <w:bCs/>
                <w:lang w:val="sv-SE" w:eastAsia="ja-JP"/>
              </w:rPr>
              <w:t>1b) OTT (Non-3GPP Transparent)</w:t>
            </w:r>
          </w:p>
        </w:tc>
        <w:tc>
          <w:tcPr>
            <w:tcW w:w="326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3F5A25C4" w14:textId="77777777" w:rsidR="00CF3A61" w:rsidRPr="00141E1D" w:rsidRDefault="00CF3A61">
            <w:pPr>
              <w:jc w:val="center"/>
              <w:rPr>
                <w:rFonts w:ascii="Arial" w:hAnsi="Arial" w:cs="Arial"/>
                <w:b/>
                <w:bCs/>
                <w:lang w:val="en-GB" w:eastAsia="ja-JP"/>
              </w:rPr>
            </w:pPr>
            <w:r w:rsidRPr="00141E1D">
              <w:rPr>
                <w:rFonts w:ascii="Arial" w:hAnsi="Arial" w:cs="Arial"/>
                <w:b/>
                <w:bCs/>
                <w:lang w:val="en-GB" w:eastAsia="ja-JP"/>
              </w:rPr>
              <w:t>2. Transfer via Core Network</w:t>
            </w:r>
          </w:p>
        </w:tc>
        <w:tc>
          <w:tcPr>
            <w:tcW w:w="290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00679AD6" w14:textId="77777777" w:rsidR="00CF3A61" w:rsidRPr="00141E1D" w:rsidRDefault="00CF3A61">
            <w:pPr>
              <w:jc w:val="center"/>
              <w:rPr>
                <w:rFonts w:ascii="Arial" w:hAnsi="Arial" w:cs="Arial"/>
                <w:b/>
                <w:bCs/>
                <w:lang w:val="en-GB" w:eastAsia="ja-JP"/>
              </w:rPr>
            </w:pPr>
            <w:r w:rsidRPr="00141E1D">
              <w:rPr>
                <w:rFonts w:ascii="Arial" w:hAnsi="Arial" w:cs="Arial"/>
                <w:b/>
                <w:bCs/>
                <w:lang w:val="en-GB" w:eastAsia="ja-JP"/>
              </w:rPr>
              <w:t>3. Transfer via OAM</w:t>
            </w:r>
          </w:p>
        </w:tc>
      </w:tr>
      <w:tr w:rsidR="00CF3A61" w:rsidRPr="00141E1D" w14:paraId="1B9DECC5" w14:textId="77777777" w:rsidTr="00CF3A61">
        <w:trPr>
          <w:trHeight w:val="367"/>
        </w:trPr>
        <w:tc>
          <w:tcPr>
            <w:tcW w:w="2200" w:type="dxa"/>
            <w:tcBorders>
              <w:top w:val="single" w:sz="4" w:space="0" w:color="auto"/>
              <w:left w:val="single" w:sz="4" w:space="0" w:color="auto"/>
              <w:bottom w:val="single" w:sz="4" w:space="0" w:color="auto"/>
              <w:right w:val="single" w:sz="4" w:space="0" w:color="auto"/>
            </w:tcBorders>
            <w:hideMark/>
          </w:tcPr>
          <w:p w14:paraId="532236B5" w14:textId="77777777" w:rsidR="00CF3A61" w:rsidRPr="00141E1D" w:rsidRDefault="00CF3A61">
            <w:pPr>
              <w:jc w:val="center"/>
              <w:rPr>
                <w:rFonts w:ascii="Arial" w:hAnsi="Arial" w:cs="Arial"/>
                <w:b/>
                <w:bCs/>
                <w:lang w:val="en-GB" w:eastAsia="ja-JP"/>
              </w:rPr>
            </w:pPr>
            <w:r w:rsidRPr="00141E1D">
              <w:rPr>
                <w:rFonts w:ascii="Arial" w:hAnsi="Arial" w:cs="Arial"/>
                <w:b/>
                <w:bCs/>
                <w:lang w:val="en-GB" w:eastAsia="ja-JP"/>
              </w:rPr>
              <w:t>First Termination Entity</w:t>
            </w:r>
          </w:p>
        </w:tc>
        <w:tc>
          <w:tcPr>
            <w:tcW w:w="2615" w:type="dxa"/>
            <w:tcBorders>
              <w:top w:val="single" w:sz="4" w:space="0" w:color="auto"/>
              <w:left w:val="single" w:sz="4" w:space="0" w:color="auto"/>
              <w:bottom w:val="single" w:sz="4" w:space="0" w:color="auto"/>
              <w:right w:val="single" w:sz="4" w:space="0" w:color="auto"/>
            </w:tcBorders>
            <w:hideMark/>
          </w:tcPr>
          <w:p w14:paraId="62999B0A" w14:textId="77777777" w:rsidR="00CF3A61" w:rsidRPr="00141E1D" w:rsidRDefault="00CF3A61">
            <w:pPr>
              <w:jc w:val="center"/>
              <w:rPr>
                <w:rFonts w:ascii="Arial" w:hAnsi="Arial" w:cs="Arial"/>
                <w:bCs/>
                <w:lang w:val="en-GB" w:eastAsia="ja-JP"/>
              </w:rPr>
            </w:pPr>
            <w:r w:rsidRPr="00141E1D">
              <w:rPr>
                <w:rFonts w:ascii="Arial" w:hAnsi="Arial" w:cs="Arial"/>
                <w:lang w:val="en-GB" w:eastAsia="ja-JP"/>
              </w:rPr>
              <w:t>UE-side OTT server</w:t>
            </w:r>
          </w:p>
        </w:tc>
        <w:tc>
          <w:tcPr>
            <w:tcW w:w="2977" w:type="dxa"/>
            <w:tcBorders>
              <w:top w:val="single" w:sz="4" w:space="0" w:color="auto"/>
              <w:left w:val="single" w:sz="4" w:space="0" w:color="auto"/>
              <w:bottom w:val="single" w:sz="4" w:space="0" w:color="auto"/>
              <w:right w:val="single" w:sz="4" w:space="0" w:color="auto"/>
            </w:tcBorders>
            <w:hideMark/>
          </w:tcPr>
          <w:p w14:paraId="39DDADF1"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The server for training data collection for UE-side models</w:t>
            </w:r>
          </w:p>
        </w:tc>
        <w:tc>
          <w:tcPr>
            <w:tcW w:w="3260" w:type="dxa"/>
            <w:tcBorders>
              <w:top w:val="single" w:sz="4" w:space="0" w:color="auto"/>
              <w:left w:val="single" w:sz="4" w:space="0" w:color="auto"/>
              <w:bottom w:val="single" w:sz="4" w:space="0" w:color="auto"/>
              <w:right w:val="single" w:sz="4" w:space="0" w:color="auto"/>
            </w:tcBorders>
            <w:hideMark/>
          </w:tcPr>
          <w:p w14:paraId="0866D231"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Inside the CN</w:t>
            </w:r>
          </w:p>
        </w:tc>
        <w:tc>
          <w:tcPr>
            <w:tcW w:w="2900" w:type="dxa"/>
            <w:tcBorders>
              <w:top w:val="single" w:sz="4" w:space="0" w:color="auto"/>
              <w:left w:val="single" w:sz="4" w:space="0" w:color="auto"/>
              <w:bottom w:val="single" w:sz="4" w:space="0" w:color="auto"/>
              <w:right w:val="single" w:sz="4" w:space="0" w:color="auto"/>
            </w:tcBorders>
            <w:hideMark/>
          </w:tcPr>
          <w:p w14:paraId="6B9A5AE5"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OAM</w:t>
            </w:r>
          </w:p>
        </w:tc>
      </w:tr>
      <w:tr w:rsidR="00CF3A61" w:rsidRPr="00141E1D" w14:paraId="7572A337" w14:textId="77777777" w:rsidTr="00CF3A61">
        <w:trPr>
          <w:trHeight w:val="374"/>
        </w:trPr>
        <w:tc>
          <w:tcPr>
            <w:tcW w:w="2200" w:type="dxa"/>
            <w:tcBorders>
              <w:top w:val="single" w:sz="4" w:space="0" w:color="auto"/>
              <w:left w:val="single" w:sz="4" w:space="0" w:color="auto"/>
              <w:bottom w:val="single" w:sz="4" w:space="0" w:color="auto"/>
              <w:right w:val="single" w:sz="4" w:space="0" w:color="auto"/>
            </w:tcBorders>
            <w:hideMark/>
          </w:tcPr>
          <w:p w14:paraId="1490F27F" w14:textId="77777777" w:rsidR="00CF3A61" w:rsidRPr="00141E1D" w:rsidRDefault="00CF3A61">
            <w:pPr>
              <w:jc w:val="center"/>
              <w:rPr>
                <w:rFonts w:ascii="Arial" w:hAnsi="Arial" w:cs="Arial"/>
                <w:b/>
                <w:lang w:val="en-GB" w:eastAsia="ja-JP"/>
              </w:rPr>
            </w:pPr>
            <w:r w:rsidRPr="00141E1D">
              <w:rPr>
                <w:rFonts w:ascii="Arial" w:hAnsi="Arial" w:cs="Arial"/>
                <w:b/>
                <w:bCs/>
                <w:lang w:val="en-GB" w:eastAsia="ja-JP"/>
              </w:rPr>
              <w:t>Inside/outside MNO’s network</w:t>
            </w:r>
          </w:p>
        </w:tc>
        <w:tc>
          <w:tcPr>
            <w:tcW w:w="2615" w:type="dxa"/>
            <w:tcBorders>
              <w:top w:val="single" w:sz="4" w:space="0" w:color="auto"/>
              <w:left w:val="single" w:sz="4" w:space="0" w:color="auto"/>
              <w:bottom w:val="single" w:sz="4" w:space="0" w:color="auto"/>
              <w:right w:val="single" w:sz="4" w:space="0" w:color="auto"/>
            </w:tcBorders>
            <w:hideMark/>
          </w:tcPr>
          <w:p w14:paraId="17B3BD11" w14:textId="77777777" w:rsidR="00CF3A61" w:rsidRPr="00141E1D" w:rsidRDefault="00CF3A61">
            <w:pPr>
              <w:jc w:val="center"/>
              <w:rPr>
                <w:rFonts w:ascii="Arial" w:hAnsi="Arial" w:cs="Arial"/>
                <w:bCs/>
                <w:lang w:val="en-GB" w:eastAsia="ja-JP"/>
              </w:rPr>
            </w:pPr>
            <w:r w:rsidRPr="00141E1D">
              <w:rPr>
                <w:rFonts w:ascii="Arial" w:hAnsi="Arial" w:cs="Arial"/>
                <w:lang w:val="en-GB" w:eastAsia="ja-JP"/>
              </w:rPr>
              <w:t>Outside</w:t>
            </w:r>
          </w:p>
        </w:tc>
        <w:tc>
          <w:tcPr>
            <w:tcW w:w="2977" w:type="dxa"/>
            <w:tcBorders>
              <w:top w:val="single" w:sz="4" w:space="0" w:color="auto"/>
              <w:left w:val="single" w:sz="4" w:space="0" w:color="auto"/>
              <w:bottom w:val="single" w:sz="4" w:space="0" w:color="auto"/>
              <w:right w:val="single" w:sz="4" w:space="0" w:color="auto"/>
            </w:tcBorders>
            <w:hideMark/>
          </w:tcPr>
          <w:p w14:paraId="6569013A"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Inside</w:t>
            </w:r>
          </w:p>
          <w:p w14:paraId="0860F5ED" w14:textId="77777777" w:rsidR="00CF3A61" w:rsidRPr="00141E1D" w:rsidRDefault="00CF3A61">
            <w:pPr>
              <w:jc w:val="center"/>
              <w:rPr>
                <w:rFonts w:ascii="Arial" w:eastAsia="Yu Mincho" w:hAnsi="Arial" w:cs="Arial"/>
                <w:lang w:val="en-GB" w:eastAsia="ja-JP"/>
              </w:rPr>
            </w:pPr>
            <w:r w:rsidRPr="00141E1D">
              <w:rPr>
                <w:rFonts w:ascii="Arial" w:eastAsia="Yu Mincho" w:hAnsi="Arial" w:cs="Arial"/>
                <w:lang w:val="en-GB" w:eastAsia="ja-JP"/>
              </w:rPr>
              <w:t>FFS: Outside</w:t>
            </w:r>
          </w:p>
        </w:tc>
        <w:tc>
          <w:tcPr>
            <w:tcW w:w="3260" w:type="dxa"/>
            <w:tcBorders>
              <w:top w:val="single" w:sz="4" w:space="0" w:color="auto"/>
              <w:left w:val="single" w:sz="4" w:space="0" w:color="auto"/>
              <w:bottom w:val="single" w:sz="4" w:space="0" w:color="auto"/>
              <w:right w:val="single" w:sz="4" w:space="0" w:color="auto"/>
            </w:tcBorders>
            <w:hideMark/>
          </w:tcPr>
          <w:p w14:paraId="0AC72F23" w14:textId="77777777" w:rsidR="00CF3A61" w:rsidRPr="00141E1D" w:rsidRDefault="00CF3A61">
            <w:pPr>
              <w:jc w:val="center"/>
              <w:rPr>
                <w:rFonts w:ascii="Arial" w:eastAsiaTheme="minorEastAsia" w:hAnsi="Arial" w:cs="Arial"/>
                <w:lang w:val="en-GB" w:eastAsia="ja-JP"/>
              </w:rPr>
            </w:pPr>
            <w:r w:rsidRPr="00141E1D">
              <w:rPr>
                <w:rFonts w:ascii="Arial" w:hAnsi="Arial" w:cs="Arial"/>
                <w:lang w:val="en-GB" w:eastAsia="ja-JP"/>
              </w:rPr>
              <w:t>Inside</w:t>
            </w:r>
          </w:p>
          <w:p w14:paraId="1668015F" w14:textId="77777777" w:rsidR="00CF3A61" w:rsidRPr="00141E1D" w:rsidRDefault="00CF3A61">
            <w:pPr>
              <w:jc w:val="center"/>
              <w:rPr>
                <w:rFonts w:ascii="Arial" w:hAnsi="Arial" w:cs="Arial"/>
                <w:lang w:val="en-GB" w:eastAsia="ja-JP"/>
              </w:rPr>
            </w:pPr>
            <w:bookmarkStart w:id="10" w:name="OLE_LINK614"/>
            <w:r w:rsidRPr="00141E1D">
              <w:rPr>
                <w:rFonts w:ascii="Arial" w:hAnsi="Arial" w:cs="Arial"/>
                <w:lang w:val="en-GB" w:eastAsia="ja-JP"/>
              </w:rPr>
              <w:t>FFS: Outside</w:t>
            </w:r>
            <w:bookmarkEnd w:id="10"/>
          </w:p>
        </w:tc>
        <w:tc>
          <w:tcPr>
            <w:tcW w:w="2900" w:type="dxa"/>
            <w:tcBorders>
              <w:top w:val="single" w:sz="4" w:space="0" w:color="auto"/>
              <w:left w:val="single" w:sz="4" w:space="0" w:color="auto"/>
              <w:bottom w:val="single" w:sz="4" w:space="0" w:color="auto"/>
              <w:right w:val="single" w:sz="4" w:space="0" w:color="auto"/>
            </w:tcBorders>
            <w:hideMark/>
          </w:tcPr>
          <w:p w14:paraId="2F096112"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Inside/outside</w:t>
            </w:r>
          </w:p>
          <w:p w14:paraId="15DDB4ED"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FFS: Outside</w:t>
            </w:r>
          </w:p>
        </w:tc>
      </w:tr>
      <w:tr w:rsidR="00CF3A61" w:rsidRPr="00141E1D" w14:paraId="16813341" w14:textId="77777777" w:rsidTr="00CF3A61">
        <w:trPr>
          <w:trHeight w:val="374"/>
        </w:trPr>
        <w:tc>
          <w:tcPr>
            <w:tcW w:w="2200" w:type="dxa"/>
            <w:tcBorders>
              <w:top w:val="single" w:sz="4" w:space="0" w:color="auto"/>
              <w:left w:val="single" w:sz="4" w:space="0" w:color="auto"/>
              <w:bottom w:val="single" w:sz="4" w:space="0" w:color="auto"/>
              <w:right w:val="single" w:sz="4" w:space="0" w:color="auto"/>
            </w:tcBorders>
            <w:hideMark/>
          </w:tcPr>
          <w:p w14:paraId="49EC5AE2" w14:textId="77777777" w:rsidR="00CF3A61" w:rsidRPr="00141E1D" w:rsidRDefault="00CF3A61">
            <w:pPr>
              <w:jc w:val="center"/>
              <w:rPr>
                <w:rFonts w:ascii="Arial" w:hAnsi="Arial" w:cs="Arial"/>
                <w:b/>
                <w:lang w:val="en-GB" w:eastAsia="ja-JP"/>
              </w:rPr>
            </w:pPr>
            <w:r w:rsidRPr="00141E1D">
              <w:rPr>
                <w:rFonts w:ascii="Arial" w:hAnsi="Arial" w:cs="Arial"/>
                <w:b/>
                <w:bCs/>
                <w:lang w:val="en-GB" w:eastAsia="ja-JP"/>
              </w:rPr>
              <w:t>Transport Tunnel</w:t>
            </w:r>
          </w:p>
        </w:tc>
        <w:tc>
          <w:tcPr>
            <w:tcW w:w="2615" w:type="dxa"/>
            <w:tcBorders>
              <w:top w:val="single" w:sz="4" w:space="0" w:color="auto"/>
              <w:left w:val="single" w:sz="4" w:space="0" w:color="auto"/>
              <w:bottom w:val="single" w:sz="4" w:space="0" w:color="auto"/>
              <w:right w:val="single" w:sz="4" w:space="0" w:color="auto"/>
            </w:tcBorders>
            <w:hideMark/>
          </w:tcPr>
          <w:p w14:paraId="0B676B25" w14:textId="77777777" w:rsidR="00CF3A61" w:rsidRPr="00141E1D" w:rsidRDefault="00CF3A61">
            <w:pPr>
              <w:jc w:val="center"/>
              <w:rPr>
                <w:rFonts w:ascii="Arial" w:hAnsi="Arial" w:cs="Arial"/>
                <w:bCs/>
                <w:lang w:val="en-GB" w:eastAsia="ja-JP"/>
              </w:rPr>
            </w:pPr>
            <w:r w:rsidRPr="00141E1D">
              <w:rPr>
                <w:rFonts w:ascii="Arial" w:hAnsi="Arial" w:cs="Arial"/>
                <w:lang w:val="en-GB" w:eastAsia="ja-JP"/>
              </w:rPr>
              <w:t>UP tunnel (Note: data collection may be charged as normal traffic.)</w:t>
            </w:r>
          </w:p>
        </w:tc>
        <w:tc>
          <w:tcPr>
            <w:tcW w:w="2977" w:type="dxa"/>
            <w:tcBorders>
              <w:top w:val="single" w:sz="4" w:space="0" w:color="auto"/>
              <w:left w:val="single" w:sz="4" w:space="0" w:color="auto"/>
              <w:bottom w:val="single" w:sz="4" w:space="0" w:color="auto"/>
              <w:right w:val="single" w:sz="4" w:space="0" w:color="auto"/>
            </w:tcBorders>
            <w:hideMark/>
          </w:tcPr>
          <w:p w14:paraId="19861228"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UP tunnel (Note: data collection may be charged as normal traffic.)</w:t>
            </w:r>
          </w:p>
        </w:tc>
        <w:tc>
          <w:tcPr>
            <w:tcW w:w="3260" w:type="dxa"/>
            <w:tcBorders>
              <w:top w:val="single" w:sz="4" w:space="0" w:color="auto"/>
              <w:left w:val="single" w:sz="4" w:space="0" w:color="auto"/>
              <w:bottom w:val="single" w:sz="4" w:space="0" w:color="auto"/>
              <w:right w:val="single" w:sz="4" w:space="0" w:color="auto"/>
            </w:tcBorders>
            <w:hideMark/>
          </w:tcPr>
          <w:p w14:paraId="47734659" w14:textId="77777777" w:rsidR="00CF3A61" w:rsidRPr="00141E1D" w:rsidRDefault="00CF3A61">
            <w:pPr>
              <w:jc w:val="center"/>
              <w:rPr>
                <w:rFonts w:ascii="Arial" w:eastAsia="Yu Mincho" w:hAnsi="Arial" w:cs="Arial"/>
                <w:lang w:val="en-GB" w:eastAsia="ja-JP"/>
              </w:rPr>
            </w:pPr>
            <w:bookmarkStart w:id="11" w:name="OLE_LINK616"/>
            <w:r w:rsidRPr="00141E1D">
              <w:rPr>
                <w:rFonts w:ascii="Arial" w:eastAsia="Yu Mincho" w:hAnsi="Arial" w:cs="Arial"/>
                <w:lang w:val="en-GB" w:eastAsia="ja-JP"/>
              </w:rPr>
              <w:t>CP tunnel (provided the data volume remains within the NAS signalling capacity)</w:t>
            </w:r>
          </w:p>
          <w:p w14:paraId="2C5E988E" w14:textId="77777777" w:rsidR="00CF3A61" w:rsidRPr="00141E1D" w:rsidRDefault="00CF3A61">
            <w:pPr>
              <w:jc w:val="center"/>
              <w:rPr>
                <w:rFonts w:ascii="Arial" w:eastAsia="Yu Mincho" w:hAnsi="Arial" w:cs="Arial"/>
                <w:lang w:val="en-GB" w:eastAsia="ja-JP"/>
              </w:rPr>
            </w:pPr>
            <w:bookmarkStart w:id="12" w:name="OLE_LINK617"/>
            <w:r w:rsidRPr="00141E1D">
              <w:rPr>
                <w:rFonts w:ascii="Arial" w:eastAsia="Yu Mincho" w:hAnsi="Arial" w:cs="Arial"/>
                <w:lang w:val="en-GB" w:eastAsia="ja-JP"/>
              </w:rPr>
              <w:t>FFS: UP tunnel</w:t>
            </w:r>
            <w:bookmarkEnd w:id="11"/>
            <w:bookmarkEnd w:id="12"/>
          </w:p>
        </w:tc>
        <w:tc>
          <w:tcPr>
            <w:tcW w:w="2900" w:type="dxa"/>
            <w:tcBorders>
              <w:top w:val="single" w:sz="4" w:space="0" w:color="auto"/>
              <w:left w:val="single" w:sz="4" w:space="0" w:color="auto"/>
              <w:bottom w:val="single" w:sz="4" w:space="0" w:color="auto"/>
              <w:right w:val="single" w:sz="4" w:space="0" w:color="auto"/>
            </w:tcBorders>
            <w:hideMark/>
          </w:tcPr>
          <w:p w14:paraId="440F395B" w14:textId="77777777" w:rsidR="00CF3A61" w:rsidRPr="00141E1D" w:rsidRDefault="00CF3A61">
            <w:pPr>
              <w:jc w:val="center"/>
              <w:rPr>
                <w:rFonts w:ascii="Arial" w:eastAsia="Yu Mincho" w:hAnsi="Arial" w:cs="Arial"/>
                <w:lang w:val="en-GB" w:eastAsia="ja-JP"/>
              </w:rPr>
            </w:pPr>
            <w:r w:rsidRPr="00141E1D">
              <w:rPr>
                <w:rFonts w:ascii="Arial" w:eastAsia="Yu Mincho" w:hAnsi="Arial" w:cs="Arial"/>
                <w:lang w:val="en-GB" w:eastAsia="ja-JP"/>
              </w:rPr>
              <w:t>CP tunnel (provided the data volume remains within the RRC signalling capacity)</w:t>
            </w:r>
          </w:p>
          <w:p w14:paraId="171833A0" w14:textId="77777777" w:rsidR="00CF3A61" w:rsidRPr="00141E1D" w:rsidRDefault="00CF3A61">
            <w:pPr>
              <w:jc w:val="center"/>
              <w:rPr>
                <w:rFonts w:ascii="Arial" w:eastAsiaTheme="minorEastAsia" w:hAnsi="Arial" w:cs="Arial"/>
                <w:lang w:val="en-GB" w:eastAsia="ja-JP"/>
              </w:rPr>
            </w:pPr>
            <w:r w:rsidRPr="00141E1D">
              <w:rPr>
                <w:rFonts w:ascii="Arial" w:eastAsia="Yu Mincho" w:hAnsi="Arial" w:cs="Arial"/>
                <w:lang w:val="en-GB" w:eastAsia="ja-JP"/>
              </w:rPr>
              <w:t>FFS: UP tunnel</w:t>
            </w:r>
          </w:p>
        </w:tc>
      </w:tr>
      <w:tr w:rsidR="00CF3A61" w:rsidRPr="00141E1D" w14:paraId="1B16E3D3" w14:textId="77777777" w:rsidTr="00CF3A61">
        <w:trPr>
          <w:trHeight w:val="374"/>
        </w:trPr>
        <w:tc>
          <w:tcPr>
            <w:tcW w:w="2200" w:type="dxa"/>
            <w:tcBorders>
              <w:top w:val="single" w:sz="4" w:space="0" w:color="auto"/>
              <w:left w:val="single" w:sz="4" w:space="0" w:color="auto"/>
              <w:bottom w:val="single" w:sz="4" w:space="0" w:color="auto"/>
              <w:right w:val="single" w:sz="4" w:space="0" w:color="auto"/>
            </w:tcBorders>
            <w:hideMark/>
          </w:tcPr>
          <w:p w14:paraId="75980BF1" w14:textId="77777777" w:rsidR="00CF3A61" w:rsidRPr="00141E1D" w:rsidRDefault="00CF3A61">
            <w:pPr>
              <w:jc w:val="center"/>
              <w:rPr>
                <w:rFonts w:ascii="Arial" w:hAnsi="Arial" w:cs="Arial"/>
                <w:b/>
                <w:lang w:val="en-GB" w:eastAsia="ja-JP"/>
              </w:rPr>
            </w:pPr>
            <w:r w:rsidRPr="00141E1D">
              <w:rPr>
                <w:rFonts w:ascii="Arial" w:hAnsi="Arial" w:cs="Arial"/>
                <w:b/>
                <w:bCs/>
                <w:lang w:val="en-GB" w:eastAsia="ja-JP"/>
              </w:rPr>
              <w:t>Protocol layer for data transfer</w:t>
            </w:r>
          </w:p>
        </w:tc>
        <w:tc>
          <w:tcPr>
            <w:tcW w:w="2615" w:type="dxa"/>
            <w:tcBorders>
              <w:top w:val="single" w:sz="4" w:space="0" w:color="auto"/>
              <w:left w:val="single" w:sz="4" w:space="0" w:color="auto"/>
              <w:bottom w:val="single" w:sz="4" w:space="0" w:color="auto"/>
              <w:right w:val="single" w:sz="4" w:space="0" w:color="auto"/>
            </w:tcBorders>
            <w:hideMark/>
          </w:tcPr>
          <w:p w14:paraId="650F19C1" w14:textId="77777777" w:rsidR="00CF3A61" w:rsidRPr="00141E1D" w:rsidRDefault="00CF3A61">
            <w:pPr>
              <w:jc w:val="center"/>
              <w:rPr>
                <w:rFonts w:ascii="Arial" w:hAnsi="Arial" w:cs="Arial"/>
                <w:bCs/>
                <w:lang w:val="en-GB" w:eastAsia="ja-JP"/>
              </w:rPr>
            </w:pPr>
            <w:r w:rsidRPr="00141E1D">
              <w:rPr>
                <w:rFonts w:ascii="Arial" w:hAnsi="Arial" w:cs="Arial"/>
                <w:lang w:val="en-GB" w:eastAsia="ja-JP"/>
              </w:rPr>
              <w:t>Application layer</w:t>
            </w:r>
          </w:p>
        </w:tc>
        <w:tc>
          <w:tcPr>
            <w:tcW w:w="2977" w:type="dxa"/>
            <w:tcBorders>
              <w:top w:val="single" w:sz="4" w:space="0" w:color="auto"/>
              <w:left w:val="single" w:sz="4" w:space="0" w:color="auto"/>
              <w:bottom w:val="single" w:sz="4" w:space="0" w:color="auto"/>
              <w:right w:val="single" w:sz="4" w:space="0" w:color="auto"/>
            </w:tcBorders>
            <w:hideMark/>
          </w:tcPr>
          <w:p w14:paraId="0F5BEF09"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Application layer</w:t>
            </w:r>
          </w:p>
        </w:tc>
        <w:tc>
          <w:tcPr>
            <w:tcW w:w="3260" w:type="dxa"/>
            <w:tcBorders>
              <w:top w:val="single" w:sz="4" w:space="0" w:color="auto"/>
              <w:left w:val="single" w:sz="4" w:space="0" w:color="auto"/>
              <w:bottom w:val="single" w:sz="4" w:space="0" w:color="auto"/>
              <w:right w:val="single" w:sz="4" w:space="0" w:color="auto"/>
            </w:tcBorders>
            <w:hideMark/>
          </w:tcPr>
          <w:p w14:paraId="54EDF1A7"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NAS layer for CP tunnel</w:t>
            </w:r>
          </w:p>
          <w:p w14:paraId="475C7526" w14:textId="77777777" w:rsidR="00CF3A61" w:rsidRPr="00141E1D" w:rsidRDefault="00CF3A61">
            <w:pPr>
              <w:jc w:val="center"/>
              <w:rPr>
                <w:rFonts w:ascii="Arial" w:hAnsi="Arial" w:cs="Arial"/>
                <w:lang w:val="en-GB" w:eastAsia="ja-JP"/>
              </w:rPr>
            </w:pPr>
            <w:r w:rsidRPr="00141E1D">
              <w:rPr>
                <w:rFonts w:ascii="Arial" w:eastAsia="Yu Mincho" w:hAnsi="Arial" w:cs="Arial"/>
                <w:lang w:val="en-GB" w:eastAsia="ja-JP"/>
              </w:rPr>
              <w:t xml:space="preserve">FFS: </w:t>
            </w:r>
            <w:bookmarkStart w:id="13" w:name="OLE_LINK618"/>
            <w:r w:rsidRPr="00141E1D">
              <w:rPr>
                <w:rFonts w:ascii="Arial" w:eastAsia="Yu Mincho" w:hAnsi="Arial" w:cs="Arial"/>
                <w:lang w:val="en-GB" w:eastAsia="ja-JP"/>
              </w:rPr>
              <w:t>the protocol layer for UP tunnel</w:t>
            </w:r>
            <w:bookmarkEnd w:id="13"/>
          </w:p>
        </w:tc>
        <w:tc>
          <w:tcPr>
            <w:tcW w:w="2900" w:type="dxa"/>
            <w:tcBorders>
              <w:top w:val="single" w:sz="4" w:space="0" w:color="auto"/>
              <w:left w:val="single" w:sz="4" w:space="0" w:color="auto"/>
              <w:bottom w:val="single" w:sz="4" w:space="0" w:color="auto"/>
              <w:right w:val="single" w:sz="4" w:space="0" w:color="auto"/>
            </w:tcBorders>
            <w:hideMark/>
          </w:tcPr>
          <w:p w14:paraId="410718B5"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RRC layer for CP tunnel</w:t>
            </w:r>
          </w:p>
          <w:p w14:paraId="484BB2CB" w14:textId="77777777" w:rsidR="00CF3A61" w:rsidRPr="00141E1D" w:rsidRDefault="00CF3A61">
            <w:pPr>
              <w:jc w:val="center"/>
              <w:rPr>
                <w:rFonts w:ascii="Arial" w:hAnsi="Arial" w:cs="Arial"/>
                <w:lang w:val="en-GB" w:eastAsia="ja-JP"/>
              </w:rPr>
            </w:pPr>
            <w:r w:rsidRPr="00141E1D">
              <w:rPr>
                <w:rFonts w:ascii="Arial" w:eastAsia="Yu Mincho" w:hAnsi="Arial" w:cs="Arial"/>
                <w:lang w:val="en-GB" w:eastAsia="ja-JP"/>
              </w:rPr>
              <w:t>FFS: the protocol layer for UP tunnel UP tunnel</w:t>
            </w:r>
          </w:p>
        </w:tc>
      </w:tr>
      <w:tr w:rsidR="00CF3A61" w:rsidRPr="00141E1D" w14:paraId="6F2411C8" w14:textId="77777777" w:rsidTr="00CF3A61">
        <w:trPr>
          <w:trHeight w:val="374"/>
        </w:trPr>
        <w:tc>
          <w:tcPr>
            <w:tcW w:w="2200" w:type="dxa"/>
            <w:tcBorders>
              <w:top w:val="single" w:sz="4" w:space="0" w:color="auto"/>
              <w:left w:val="single" w:sz="4" w:space="0" w:color="auto"/>
              <w:bottom w:val="single" w:sz="4" w:space="0" w:color="auto"/>
              <w:right w:val="single" w:sz="4" w:space="0" w:color="auto"/>
            </w:tcBorders>
            <w:hideMark/>
          </w:tcPr>
          <w:p w14:paraId="582ED378" w14:textId="77777777" w:rsidR="00CF3A61" w:rsidRPr="00141E1D" w:rsidRDefault="00CF3A61">
            <w:pPr>
              <w:jc w:val="center"/>
              <w:rPr>
                <w:rFonts w:ascii="Arial" w:hAnsi="Arial" w:cs="Arial"/>
                <w:b/>
                <w:lang w:val="en-GB" w:eastAsia="ja-JP"/>
              </w:rPr>
            </w:pPr>
            <w:r w:rsidRPr="00141E1D">
              <w:rPr>
                <w:rFonts w:ascii="Arial" w:hAnsi="Arial" w:cs="Arial"/>
                <w:b/>
                <w:bCs/>
                <w:lang w:val="en-GB" w:eastAsia="ja-JP"/>
              </w:rPr>
              <w:t>Controllability of MNO on data transfer</w:t>
            </w:r>
          </w:p>
        </w:tc>
        <w:tc>
          <w:tcPr>
            <w:tcW w:w="2615" w:type="dxa"/>
            <w:tcBorders>
              <w:top w:val="single" w:sz="4" w:space="0" w:color="auto"/>
              <w:left w:val="single" w:sz="4" w:space="0" w:color="auto"/>
              <w:bottom w:val="single" w:sz="4" w:space="0" w:color="auto"/>
              <w:right w:val="single" w:sz="4" w:space="0" w:color="auto"/>
            </w:tcBorders>
            <w:hideMark/>
          </w:tcPr>
          <w:p w14:paraId="177376D1" w14:textId="77777777" w:rsidR="00CF3A61" w:rsidRPr="00141E1D" w:rsidRDefault="00CF3A61">
            <w:pPr>
              <w:jc w:val="center"/>
              <w:rPr>
                <w:rFonts w:ascii="Arial" w:hAnsi="Arial" w:cs="Arial"/>
                <w:bCs/>
                <w:lang w:val="en-GB" w:eastAsia="ja-JP"/>
              </w:rPr>
            </w:pPr>
            <w:r w:rsidRPr="00141E1D">
              <w:rPr>
                <w:rFonts w:ascii="Arial" w:hAnsi="Arial" w:cs="Arial"/>
                <w:lang w:val="en-GB" w:eastAsia="ja-JP"/>
              </w:rPr>
              <w:t xml:space="preserve">No specific </w:t>
            </w:r>
            <w:bookmarkStart w:id="14" w:name="OLE_LINK621"/>
            <w:r w:rsidRPr="00141E1D">
              <w:rPr>
                <w:rFonts w:ascii="Arial" w:hAnsi="Arial" w:cs="Arial"/>
                <w:lang w:val="en-GB" w:eastAsia="ja-JP"/>
              </w:rPr>
              <w:t>controllability</w:t>
            </w:r>
            <w:bookmarkEnd w:id="14"/>
          </w:p>
        </w:tc>
        <w:tc>
          <w:tcPr>
            <w:tcW w:w="2977" w:type="dxa"/>
            <w:tcBorders>
              <w:top w:val="single" w:sz="4" w:space="0" w:color="auto"/>
              <w:left w:val="single" w:sz="4" w:space="0" w:color="auto"/>
              <w:bottom w:val="single" w:sz="4" w:space="0" w:color="auto"/>
              <w:right w:val="single" w:sz="4" w:space="0" w:color="auto"/>
            </w:tcBorders>
            <w:hideMark/>
          </w:tcPr>
          <w:p w14:paraId="43A1E9B2"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Has controllability</w:t>
            </w:r>
          </w:p>
          <w:p w14:paraId="358F2D3A"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FFS: level of controllability</w:t>
            </w:r>
          </w:p>
        </w:tc>
        <w:tc>
          <w:tcPr>
            <w:tcW w:w="3260" w:type="dxa"/>
            <w:tcBorders>
              <w:top w:val="single" w:sz="4" w:space="0" w:color="auto"/>
              <w:left w:val="single" w:sz="4" w:space="0" w:color="auto"/>
              <w:bottom w:val="single" w:sz="4" w:space="0" w:color="auto"/>
              <w:right w:val="single" w:sz="4" w:space="0" w:color="auto"/>
            </w:tcBorders>
            <w:hideMark/>
          </w:tcPr>
          <w:p w14:paraId="50C6E28F" w14:textId="77777777" w:rsidR="00CF3A61" w:rsidRPr="00141E1D" w:rsidRDefault="00CF3A61">
            <w:pPr>
              <w:jc w:val="center"/>
              <w:rPr>
                <w:rFonts w:ascii="Arial" w:hAnsi="Arial" w:cs="Arial"/>
                <w:lang w:val="en-GB" w:eastAsia="ja-JP"/>
              </w:rPr>
            </w:pPr>
            <w:bookmarkStart w:id="15" w:name="OLE_LINK623"/>
            <w:r w:rsidRPr="00141E1D">
              <w:rPr>
                <w:rFonts w:ascii="Arial" w:hAnsi="Arial" w:cs="Arial"/>
              </w:rPr>
              <w:t>Full controllability</w:t>
            </w:r>
            <w:bookmarkEnd w:id="15"/>
            <w:r w:rsidRPr="00141E1D">
              <w:rPr>
                <w:rFonts w:ascii="Arial" w:hAnsi="Arial" w:cs="Arial"/>
              </w:rPr>
              <w:t xml:space="preserve"> </w:t>
            </w:r>
            <w:bookmarkStart w:id="16" w:name="OLE_LINK628"/>
            <w:r w:rsidRPr="00141E1D">
              <w:rPr>
                <w:rFonts w:ascii="Arial" w:hAnsi="Arial" w:cs="Arial"/>
              </w:rPr>
              <w:t>(Note 1)</w:t>
            </w:r>
            <w:bookmarkEnd w:id="16"/>
          </w:p>
        </w:tc>
        <w:tc>
          <w:tcPr>
            <w:tcW w:w="2900" w:type="dxa"/>
            <w:tcBorders>
              <w:top w:val="single" w:sz="4" w:space="0" w:color="auto"/>
              <w:left w:val="single" w:sz="4" w:space="0" w:color="auto"/>
              <w:bottom w:val="single" w:sz="4" w:space="0" w:color="auto"/>
              <w:right w:val="single" w:sz="4" w:space="0" w:color="auto"/>
            </w:tcBorders>
            <w:hideMark/>
          </w:tcPr>
          <w:p w14:paraId="78EE75A4" w14:textId="77777777" w:rsidR="00CF3A61" w:rsidRPr="00141E1D" w:rsidRDefault="00CF3A61">
            <w:pPr>
              <w:jc w:val="center"/>
              <w:rPr>
                <w:rFonts w:ascii="Arial" w:hAnsi="Arial" w:cs="Arial"/>
                <w:lang w:val="en-GB" w:eastAsia="ja-JP"/>
              </w:rPr>
            </w:pPr>
            <w:r w:rsidRPr="00141E1D">
              <w:rPr>
                <w:rFonts w:ascii="Arial" w:hAnsi="Arial" w:cs="Arial"/>
              </w:rPr>
              <w:t>Full controllability (Note 1)</w:t>
            </w:r>
          </w:p>
        </w:tc>
      </w:tr>
      <w:tr w:rsidR="00CF3A61" w:rsidRPr="00141E1D" w14:paraId="16ECA3E0" w14:textId="77777777" w:rsidTr="00CF3A61">
        <w:trPr>
          <w:trHeight w:val="374"/>
        </w:trPr>
        <w:tc>
          <w:tcPr>
            <w:tcW w:w="2200" w:type="dxa"/>
            <w:tcBorders>
              <w:top w:val="single" w:sz="4" w:space="0" w:color="auto"/>
              <w:left w:val="single" w:sz="4" w:space="0" w:color="auto"/>
              <w:bottom w:val="single" w:sz="4" w:space="0" w:color="auto"/>
              <w:right w:val="single" w:sz="4" w:space="0" w:color="auto"/>
            </w:tcBorders>
            <w:hideMark/>
          </w:tcPr>
          <w:p w14:paraId="55CB1393" w14:textId="77777777" w:rsidR="00CF3A61" w:rsidRPr="00141E1D" w:rsidRDefault="00CF3A61">
            <w:pPr>
              <w:jc w:val="center"/>
              <w:rPr>
                <w:rFonts w:ascii="Arial" w:hAnsi="Arial" w:cs="Arial"/>
                <w:b/>
                <w:lang w:val="en-GB" w:eastAsia="ja-JP"/>
              </w:rPr>
            </w:pPr>
            <w:r w:rsidRPr="00141E1D">
              <w:rPr>
                <w:rFonts w:ascii="Arial" w:hAnsi="Arial" w:cs="Arial"/>
                <w:b/>
                <w:bCs/>
                <w:lang w:val="en-GB" w:eastAsia="ja-JP"/>
              </w:rPr>
              <w:t>Control Granularity by NW</w:t>
            </w:r>
          </w:p>
        </w:tc>
        <w:tc>
          <w:tcPr>
            <w:tcW w:w="2615" w:type="dxa"/>
            <w:tcBorders>
              <w:top w:val="single" w:sz="4" w:space="0" w:color="auto"/>
              <w:left w:val="single" w:sz="4" w:space="0" w:color="auto"/>
              <w:bottom w:val="single" w:sz="4" w:space="0" w:color="auto"/>
              <w:right w:val="single" w:sz="4" w:space="0" w:color="auto"/>
            </w:tcBorders>
            <w:hideMark/>
          </w:tcPr>
          <w:p w14:paraId="6ABADA39" w14:textId="77777777" w:rsidR="00CF3A61" w:rsidRPr="00141E1D" w:rsidRDefault="00CF3A61">
            <w:pPr>
              <w:jc w:val="center"/>
              <w:rPr>
                <w:rFonts w:ascii="Arial" w:hAnsi="Arial" w:cs="Arial"/>
                <w:bCs/>
                <w:lang w:val="en-GB" w:eastAsia="ja-JP"/>
              </w:rPr>
            </w:pPr>
            <w:r w:rsidRPr="00141E1D">
              <w:rPr>
                <w:rFonts w:ascii="Arial" w:hAnsi="Arial" w:cs="Arial"/>
                <w:lang w:val="en-GB" w:eastAsia="ja-JP"/>
              </w:rPr>
              <w:t>NA, the OTT server can directly request data from the UE.</w:t>
            </w:r>
          </w:p>
        </w:tc>
        <w:tc>
          <w:tcPr>
            <w:tcW w:w="2977" w:type="dxa"/>
            <w:tcBorders>
              <w:top w:val="single" w:sz="4" w:space="0" w:color="auto"/>
              <w:left w:val="single" w:sz="4" w:space="0" w:color="auto"/>
              <w:bottom w:val="single" w:sz="4" w:space="0" w:color="auto"/>
              <w:right w:val="single" w:sz="4" w:space="0" w:color="auto"/>
            </w:tcBorders>
            <w:hideMark/>
          </w:tcPr>
          <w:p w14:paraId="1D52A529"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Example: per PDU sessions based on SLA</w:t>
            </w:r>
          </w:p>
        </w:tc>
        <w:tc>
          <w:tcPr>
            <w:tcW w:w="3260" w:type="dxa"/>
            <w:tcBorders>
              <w:top w:val="single" w:sz="4" w:space="0" w:color="auto"/>
              <w:left w:val="single" w:sz="4" w:space="0" w:color="auto"/>
              <w:bottom w:val="single" w:sz="4" w:space="0" w:color="auto"/>
              <w:right w:val="single" w:sz="4" w:space="0" w:color="auto"/>
            </w:tcBorders>
            <w:hideMark/>
          </w:tcPr>
          <w:p w14:paraId="0696D151" w14:textId="77777777" w:rsidR="00CF3A61" w:rsidRPr="00141E1D" w:rsidRDefault="00CF3A61">
            <w:pPr>
              <w:jc w:val="center"/>
              <w:rPr>
                <w:rFonts w:ascii="Arial" w:hAnsi="Arial" w:cs="Arial"/>
                <w:lang w:val="it-IT" w:eastAsia="ja-JP"/>
              </w:rPr>
            </w:pPr>
            <w:r w:rsidRPr="00141E1D">
              <w:rPr>
                <w:rFonts w:ascii="Arial" w:hAnsi="Arial" w:cs="Arial"/>
                <w:lang w:val="it-IT" w:eastAsia="ja-JP"/>
              </w:rPr>
              <w:t>NAS procedure</w:t>
            </w:r>
          </w:p>
        </w:tc>
        <w:tc>
          <w:tcPr>
            <w:tcW w:w="2900" w:type="dxa"/>
            <w:tcBorders>
              <w:top w:val="single" w:sz="4" w:space="0" w:color="auto"/>
              <w:left w:val="single" w:sz="4" w:space="0" w:color="auto"/>
              <w:bottom w:val="single" w:sz="4" w:space="0" w:color="auto"/>
              <w:right w:val="single" w:sz="4" w:space="0" w:color="auto"/>
            </w:tcBorders>
            <w:hideMark/>
          </w:tcPr>
          <w:p w14:paraId="62E8C579" w14:textId="77777777" w:rsidR="00CF3A61" w:rsidRPr="00141E1D" w:rsidRDefault="00CF3A61">
            <w:pPr>
              <w:jc w:val="center"/>
              <w:rPr>
                <w:rFonts w:ascii="Arial" w:hAnsi="Arial" w:cs="Arial"/>
                <w:lang w:val="it-IT" w:eastAsia="ja-JP"/>
              </w:rPr>
            </w:pPr>
            <w:r w:rsidRPr="00141E1D">
              <w:rPr>
                <w:rFonts w:ascii="Arial" w:hAnsi="Arial" w:cs="Arial"/>
                <w:lang w:val="it-IT" w:eastAsia="ja-JP"/>
              </w:rPr>
              <w:t>RRC procedure</w:t>
            </w:r>
          </w:p>
        </w:tc>
      </w:tr>
      <w:tr w:rsidR="00CF3A61" w:rsidRPr="00141E1D" w14:paraId="6645B7BD" w14:textId="77777777" w:rsidTr="00CF3A61">
        <w:trPr>
          <w:trHeight w:val="374"/>
        </w:trPr>
        <w:tc>
          <w:tcPr>
            <w:tcW w:w="2200" w:type="dxa"/>
            <w:tcBorders>
              <w:top w:val="single" w:sz="4" w:space="0" w:color="auto"/>
              <w:left w:val="single" w:sz="4" w:space="0" w:color="auto"/>
              <w:bottom w:val="single" w:sz="4" w:space="0" w:color="auto"/>
              <w:right w:val="single" w:sz="4" w:space="0" w:color="auto"/>
            </w:tcBorders>
            <w:hideMark/>
          </w:tcPr>
          <w:p w14:paraId="0F5797F4" w14:textId="77777777" w:rsidR="00CF3A61" w:rsidRPr="00141E1D" w:rsidRDefault="00CF3A61">
            <w:pPr>
              <w:jc w:val="center"/>
              <w:rPr>
                <w:rFonts w:ascii="Arial" w:eastAsia="Yu Mincho" w:hAnsi="Arial" w:cs="Arial"/>
                <w:b/>
                <w:lang w:val="en-GB" w:eastAsia="ja-JP"/>
              </w:rPr>
            </w:pPr>
            <w:r w:rsidRPr="00141E1D">
              <w:rPr>
                <w:rFonts w:ascii="Arial" w:eastAsia="Yu Mincho" w:hAnsi="Arial" w:cs="Arial"/>
                <w:b/>
                <w:bCs/>
                <w:lang w:val="en-GB" w:eastAsia="ja-JP"/>
              </w:rPr>
              <w:t>Visibility of data content in MNO</w:t>
            </w:r>
          </w:p>
        </w:tc>
        <w:tc>
          <w:tcPr>
            <w:tcW w:w="2615" w:type="dxa"/>
            <w:tcBorders>
              <w:top w:val="single" w:sz="4" w:space="0" w:color="auto"/>
              <w:left w:val="single" w:sz="4" w:space="0" w:color="auto"/>
              <w:bottom w:val="single" w:sz="4" w:space="0" w:color="auto"/>
              <w:right w:val="single" w:sz="4" w:space="0" w:color="auto"/>
            </w:tcBorders>
            <w:hideMark/>
          </w:tcPr>
          <w:p w14:paraId="2E6D1B5F" w14:textId="77777777" w:rsidR="00CF3A61" w:rsidRPr="00141E1D" w:rsidRDefault="00CF3A61">
            <w:pPr>
              <w:jc w:val="center"/>
              <w:rPr>
                <w:rFonts w:ascii="Arial" w:eastAsiaTheme="minorEastAsia" w:hAnsi="Arial" w:cs="Arial"/>
                <w:bCs/>
                <w:lang w:val="en-GB" w:eastAsia="ja-JP"/>
              </w:rPr>
            </w:pPr>
            <w:r w:rsidRPr="00141E1D">
              <w:rPr>
                <w:rFonts w:ascii="Arial" w:hAnsi="Arial" w:cs="Arial"/>
              </w:rPr>
              <w:t>No visibility</w:t>
            </w:r>
          </w:p>
        </w:tc>
        <w:tc>
          <w:tcPr>
            <w:tcW w:w="2977" w:type="dxa"/>
            <w:tcBorders>
              <w:top w:val="single" w:sz="4" w:space="0" w:color="auto"/>
              <w:left w:val="single" w:sz="4" w:space="0" w:color="auto"/>
              <w:bottom w:val="single" w:sz="4" w:space="0" w:color="auto"/>
              <w:right w:val="single" w:sz="4" w:space="0" w:color="auto"/>
            </w:tcBorders>
            <w:hideMark/>
          </w:tcPr>
          <w:p w14:paraId="2ABFDA0A" w14:textId="77777777" w:rsidR="00CF3A61" w:rsidRPr="00141E1D" w:rsidRDefault="00CF3A61">
            <w:pPr>
              <w:jc w:val="center"/>
              <w:rPr>
                <w:rFonts w:ascii="Arial" w:eastAsia="Yu Mincho" w:hAnsi="Arial" w:cs="Arial"/>
                <w:lang w:val="en-GB" w:eastAsia="ja-JP"/>
              </w:rPr>
            </w:pPr>
            <w:r w:rsidRPr="00141E1D">
              <w:rPr>
                <w:rFonts w:ascii="Arial" w:eastAsia="Yu Mincho" w:hAnsi="Arial" w:cs="Arial"/>
                <w:lang w:val="en-GB" w:eastAsia="ja-JP"/>
              </w:rPr>
              <w:t>FFS</w:t>
            </w:r>
          </w:p>
        </w:tc>
        <w:tc>
          <w:tcPr>
            <w:tcW w:w="3260" w:type="dxa"/>
            <w:tcBorders>
              <w:top w:val="single" w:sz="4" w:space="0" w:color="auto"/>
              <w:left w:val="single" w:sz="4" w:space="0" w:color="auto"/>
              <w:bottom w:val="single" w:sz="4" w:space="0" w:color="auto"/>
              <w:right w:val="single" w:sz="4" w:space="0" w:color="auto"/>
            </w:tcBorders>
            <w:hideMark/>
          </w:tcPr>
          <w:p w14:paraId="1D1C72E6" w14:textId="77777777" w:rsidR="00CF3A61" w:rsidRPr="00141E1D" w:rsidRDefault="00CF3A61">
            <w:pPr>
              <w:jc w:val="center"/>
              <w:rPr>
                <w:rFonts w:ascii="Arial" w:eastAsia="Yu Mincho" w:hAnsi="Arial" w:cs="Arial"/>
                <w:lang w:val="it-IT" w:eastAsia="ja-JP"/>
              </w:rPr>
            </w:pPr>
            <w:r w:rsidRPr="00141E1D">
              <w:rPr>
                <w:rFonts w:ascii="Arial" w:eastAsia="Yu Mincho" w:hAnsi="Arial" w:cs="Arial"/>
                <w:lang w:val="it-IT" w:eastAsia="ja-JP"/>
              </w:rPr>
              <w:t xml:space="preserve">Full visibility </w:t>
            </w:r>
            <w:bookmarkStart w:id="17" w:name="OLE_LINK629"/>
            <w:r w:rsidRPr="00141E1D">
              <w:rPr>
                <w:rFonts w:ascii="Arial" w:hAnsi="Arial" w:cs="Arial"/>
              </w:rPr>
              <w:t>(Note 2)</w:t>
            </w:r>
            <w:bookmarkEnd w:id="17"/>
          </w:p>
        </w:tc>
        <w:tc>
          <w:tcPr>
            <w:tcW w:w="2900" w:type="dxa"/>
            <w:tcBorders>
              <w:top w:val="single" w:sz="4" w:space="0" w:color="auto"/>
              <w:left w:val="single" w:sz="4" w:space="0" w:color="auto"/>
              <w:bottom w:val="single" w:sz="4" w:space="0" w:color="auto"/>
              <w:right w:val="single" w:sz="4" w:space="0" w:color="auto"/>
            </w:tcBorders>
            <w:hideMark/>
          </w:tcPr>
          <w:p w14:paraId="67709D0C" w14:textId="77777777" w:rsidR="00CF3A61" w:rsidRPr="00141E1D" w:rsidRDefault="00CF3A61">
            <w:pPr>
              <w:jc w:val="center"/>
              <w:rPr>
                <w:rFonts w:ascii="Arial" w:eastAsia="Yu Mincho" w:hAnsi="Arial" w:cs="Arial"/>
                <w:lang w:val="it-IT" w:eastAsia="ja-JP"/>
              </w:rPr>
            </w:pPr>
            <w:r w:rsidRPr="00141E1D">
              <w:rPr>
                <w:rFonts w:ascii="Arial" w:eastAsia="Yu Mincho" w:hAnsi="Arial" w:cs="Arial"/>
                <w:lang w:val="it-IT" w:eastAsia="ja-JP"/>
              </w:rPr>
              <w:t xml:space="preserve">Full visibility </w:t>
            </w:r>
            <w:r w:rsidRPr="00141E1D">
              <w:rPr>
                <w:rFonts w:ascii="Arial" w:hAnsi="Arial" w:cs="Arial"/>
              </w:rPr>
              <w:t>(Note 2)</w:t>
            </w:r>
          </w:p>
        </w:tc>
      </w:tr>
      <w:tr w:rsidR="00CF3A61" w:rsidRPr="00141E1D" w14:paraId="7ACD3052" w14:textId="77777777" w:rsidTr="00CF3A61">
        <w:trPr>
          <w:trHeight w:val="374"/>
        </w:trPr>
        <w:tc>
          <w:tcPr>
            <w:tcW w:w="2200" w:type="dxa"/>
            <w:tcBorders>
              <w:top w:val="single" w:sz="4" w:space="0" w:color="auto"/>
              <w:left w:val="single" w:sz="4" w:space="0" w:color="auto"/>
              <w:bottom w:val="single" w:sz="4" w:space="0" w:color="auto"/>
              <w:right w:val="single" w:sz="4" w:space="0" w:color="auto"/>
            </w:tcBorders>
            <w:hideMark/>
          </w:tcPr>
          <w:p w14:paraId="1BA6BA75" w14:textId="77777777" w:rsidR="00CF3A61" w:rsidRPr="00141E1D" w:rsidRDefault="00CF3A61">
            <w:pPr>
              <w:jc w:val="center"/>
              <w:rPr>
                <w:rFonts w:ascii="Arial" w:eastAsiaTheme="minorEastAsia" w:hAnsi="Arial" w:cs="Arial"/>
                <w:b/>
                <w:lang w:eastAsia="ja-JP"/>
              </w:rPr>
            </w:pPr>
            <w:r w:rsidRPr="00141E1D">
              <w:rPr>
                <w:rFonts w:ascii="Arial" w:hAnsi="Arial" w:cs="Arial"/>
                <w:b/>
                <w:bCs/>
                <w:lang w:eastAsia="ja-JP"/>
              </w:rPr>
              <w:t>Data format</w:t>
            </w:r>
          </w:p>
        </w:tc>
        <w:tc>
          <w:tcPr>
            <w:tcW w:w="2615" w:type="dxa"/>
            <w:tcBorders>
              <w:top w:val="single" w:sz="4" w:space="0" w:color="auto"/>
              <w:left w:val="single" w:sz="4" w:space="0" w:color="auto"/>
              <w:bottom w:val="single" w:sz="4" w:space="0" w:color="auto"/>
              <w:right w:val="single" w:sz="4" w:space="0" w:color="auto"/>
            </w:tcBorders>
            <w:hideMark/>
          </w:tcPr>
          <w:p w14:paraId="664BEA73" w14:textId="77777777" w:rsidR="00CF3A61" w:rsidRPr="00141E1D" w:rsidRDefault="00CF3A61">
            <w:pPr>
              <w:jc w:val="center"/>
              <w:rPr>
                <w:rFonts w:ascii="Arial" w:hAnsi="Arial" w:cs="Arial"/>
                <w:bCs/>
                <w:lang w:val="en-GB" w:eastAsia="ja-JP"/>
              </w:rPr>
            </w:pPr>
            <w:r w:rsidRPr="00141E1D">
              <w:rPr>
                <w:rFonts w:ascii="Arial" w:hAnsi="Arial" w:cs="Arial"/>
                <w:lang w:val="en-GB" w:eastAsia="ja-JP"/>
              </w:rPr>
              <w:t>Non-standardized</w:t>
            </w:r>
          </w:p>
        </w:tc>
        <w:tc>
          <w:tcPr>
            <w:tcW w:w="2977" w:type="dxa"/>
            <w:tcBorders>
              <w:top w:val="single" w:sz="4" w:space="0" w:color="auto"/>
              <w:left w:val="single" w:sz="4" w:space="0" w:color="auto"/>
              <w:bottom w:val="single" w:sz="4" w:space="0" w:color="auto"/>
              <w:right w:val="single" w:sz="4" w:space="0" w:color="auto"/>
            </w:tcBorders>
            <w:hideMark/>
          </w:tcPr>
          <w:p w14:paraId="096E36B7"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FFS</w:t>
            </w:r>
          </w:p>
        </w:tc>
        <w:tc>
          <w:tcPr>
            <w:tcW w:w="3260" w:type="dxa"/>
            <w:tcBorders>
              <w:top w:val="single" w:sz="4" w:space="0" w:color="auto"/>
              <w:left w:val="single" w:sz="4" w:space="0" w:color="auto"/>
              <w:bottom w:val="single" w:sz="4" w:space="0" w:color="auto"/>
              <w:right w:val="single" w:sz="4" w:space="0" w:color="auto"/>
            </w:tcBorders>
            <w:hideMark/>
          </w:tcPr>
          <w:p w14:paraId="6435C466"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Standardized</w:t>
            </w:r>
          </w:p>
          <w:p w14:paraId="7DBC668D"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FFS: non-standardized</w:t>
            </w:r>
          </w:p>
        </w:tc>
        <w:tc>
          <w:tcPr>
            <w:tcW w:w="2900" w:type="dxa"/>
            <w:tcBorders>
              <w:top w:val="single" w:sz="4" w:space="0" w:color="auto"/>
              <w:left w:val="single" w:sz="4" w:space="0" w:color="auto"/>
              <w:bottom w:val="single" w:sz="4" w:space="0" w:color="auto"/>
              <w:right w:val="single" w:sz="4" w:space="0" w:color="auto"/>
            </w:tcBorders>
            <w:hideMark/>
          </w:tcPr>
          <w:p w14:paraId="3FB725D6"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Standardized</w:t>
            </w:r>
          </w:p>
          <w:p w14:paraId="70334AE5"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FFS: non-standardized</w:t>
            </w:r>
          </w:p>
        </w:tc>
      </w:tr>
      <w:tr w:rsidR="00CF3A61" w:rsidRPr="00141E1D" w14:paraId="743593E7" w14:textId="77777777" w:rsidTr="00CF3A61">
        <w:trPr>
          <w:trHeight w:val="367"/>
        </w:trPr>
        <w:tc>
          <w:tcPr>
            <w:tcW w:w="2200" w:type="dxa"/>
            <w:tcBorders>
              <w:top w:val="single" w:sz="4" w:space="0" w:color="auto"/>
              <w:left w:val="single" w:sz="4" w:space="0" w:color="auto"/>
              <w:bottom w:val="single" w:sz="4" w:space="0" w:color="auto"/>
              <w:right w:val="single" w:sz="4" w:space="0" w:color="auto"/>
            </w:tcBorders>
            <w:hideMark/>
          </w:tcPr>
          <w:p w14:paraId="2CC3A0D1" w14:textId="77777777" w:rsidR="00CF3A61" w:rsidRPr="00141E1D" w:rsidRDefault="00CF3A61">
            <w:pPr>
              <w:jc w:val="center"/>
              <w:rPr>
                <w:rFonts w:ascii="Arial" w:hAnsi="Arial" w:cs="Arial"/>
                <w:b/>
                <w:lang w:val="en-GB" w:eastAsia="ja-JP"/>
              </w:rPr>
            </w:pPr>
            <w:r w:rsidRPr="00141E1D">
              <w:rPr>
                <w:rFonts w:ascii="Arial" w:hAnsi="Arial" w:cs="Arial"/>
                <w:b/>
                <w:bCs/>
                <w:lang w:val="en-GB" w:eastAsia="ja-JP"/>
              </w:rPr>
              <w:t>Involved WGs</w:t>
            </w:r>
          </w:p>
        </w:tc>
        <w:tc>
          <w:tcPr>
            <w:tcW w:w="2615" w:type="dxa"/>
            <w:tcBorders>
              <w:top w:val="single" w:sz="4" w:space="0" w:color="auto"/>
              <w:left w:val="single" w:sz="4" w:space="0" w:color="auto"/>
              <w:bottom w:val="single" w:sz="4" w:space="0" w:color="auto"/>
              <w:right w:val="single" w:sz="4" w:space="0" w:color="auto"/>
            </w:tcBorders>
            <w:hideMark/>
          </w:tcPr>
          <w:p w14:paraId="67FD4279" w14:textId="77777777" w:rsidR="00CF3A61" w:rsidRPr="00141E1D" w:rsidRDefault="00CF3A61">
            <w:pPr>
              <w:jc w:val="center"/>
              <w:rPr>
                <w:rFonts w:ascii="Arial" w:hAnsi="Arial" w:cs="Arial"/>
                <w:bCs/>
                <w:lang w:val="en-GB" w:eastAsia="ja-JP"/>
              </w:rPr>
            </w:pPr>
            <w:r w:rsidRPr="00141E1D">
              <w:rPr>
                <w:rFonts w:ascii="Arial" w:hAnsi="Arial" w:cs="Arial"/>
                <w:lang w:val="en-GB" w:eastAsia="ja-JP"/>
              </w:rPr>
              <w:t xml:space="preserve">No, </w:t>
            </w:r>
            <w:bookmarkStart w:id="18" w:name="OLE_LINK627"/>
            <w:r w:rsidRPr="00141E1D">
              <w:rPr>
                <w:rFonts w:ascii="Arial" w:hAnsi="Arial" w:cs="Arial"/>
                <w:lang w:val="en-GB" w:eastAsia="ja-JP"/>
              </w:rPr>
              <w:t>out of 3GPP scope</w:t>
            </w:r>
            <w:bookmarkEnd w:id="18"/>
          </w:p>
        </w:tc>
        <w:tc>
          <w:tcPr>
            <w:tcW w:w="2977" w:type="dxa"/>
            <w:tcBorders>
              <w:top w:val="single" w:sz="4" w:space="0" w:color="auto"/>
              <w:left w:val="single" w:sz="4" w:space="0" w:color="auto"/>
              <w:bottom w:val="single" w:sz="4" w:space="0" w:color="auto"/>
              <w:right w:val="single" w:sz="4" w:space="0" w:color="auto"/>
            </w:tcBorders>
            <w:hideMark/>
          </w:tcPr>
          <w:p w14:paraId="79EBFFE8"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SA2, RAN2</w:t>
            </w:r>
          </w:p>
        </w:tc>
        <w:tc>
          <w:tcPr>
            <w:tcW w:w="3260" w:type="dxa"/>
            <w:tcBorders>
              <w:top w:val="single" w:sz="4" w:space="0" w:color="auto"/>
              <w:left w:val="single" w:sz="4" w:space="0" w:color="auto"/>
              <w:bottom w:val="single" w:sz="4" w:space="0" w:color="auto"/>
              <w:right w:val="single" w:sz="4" w:space="0" w:color="auto"/>
            </w:tcBorders>
            <w:hideMark/>
          </w:tcPr>
          <w:p w14:paraId="6DC57352"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SA2, RAN2</w:t>
            </w:r>
          </w:p>
        </w:tc>
        <w:tc>
          <w:tcPr>
            <w:tcW w:w="2900" w:type="dxa"/>
            <w:tcBorders>
              <w:top w:val="single" w:sz="4" w:space="0" w:color="auto"/>
              <w:left w:val="single" w:sz="4" w:space="0" w:color="auto"/>
              <w:bottom w:val="single" w:sz="4" w:space="0" w:color="auto"/>
              <w:right w:val="single" w:sz="4" w:space="0" w:color="auto"/>
            </w:tcBorders>
            <w:hideMark/>
          </w:tcPr>
          <w:p w14:paraId="4AE5FD5C"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SA5, SA2, RAN2</w:t>
            </w:r>
          </w:p>
        </w:tc>
      </w:tr>
      <w:tr w:rsidR="00CF3A61" w:rsidRPr="00141E1D" w14:paraId="006E4598" w14:textId="77777777" w:rsidTr="00CF3A61">
        <w:trPr>
          <w:trHeight w:val="367"/>
        </w:trPr>
        <w:tc>
          <w:tcPr>
            <w:tcW w:w="13952" w:type="dxa"/>
            <w:gridSpan w:val="5"/>
            <w:tcBorders>
              <w:top w:val="single" w:sz="4" w:space="0" w:color="auto"/>
              <w:left w:val="single" w:sz="4" w:space="0" w:color="auto"/>
              <w:bottom w:val="single" w:sz="4" w:space="0" w:color="auto"/>
              <w:right w:val="single" w:sz="4" w:space="0" w:color="auto"/>
            </w:tcBorders>
            <w:hideMark/>
          </w:tcPr>
          <w:p w14:paraId="4677EAD2" w14:textId="77777777" w:rsidR="00CF3A61" w:rsidRPr="00141E1D" w:rsidRDefault="00CF3A61" w:rsidP="00CF3A61">
            <w:pPr>
              <w:pStyle w:val="ListParagraph"/>
              <w:widowControl w:val="0"/>
              <w:numPr>
                <w:ilvl w:val="0"/>
                <w:numId w:val="30"/>
              </w:numPr>
              <w:contextualSpacing w:val="0"/>
              <w:jc w:val="both"/>
              <w:rPr>
                <w:rFonts w:ascii="Arial" w:eastAsia="Yu Mincho" w:hAnsi="Arial" w:cs="Arial"/>
                <w:lang w:val="en-GB" w:eastAsia="ja-JP"/>
              </w:rPr>
            </w:pPr>
            <w:r w:rsidRPr="00141E1D">
              <w:rPr>
                <w:rFonts w:ascii="Arial" w:eastAsia="Yu Mincho" w:hAnsi="Arial" w:cs="Arial"/>
                <w:lang w:val="en-GB" w:eastAsia="ja-JP"/>
              </w:rPr>
              <w:t>Note 1: Full controllability: The MNO has the capability to manage data transfer to the server for UE-side data collection. This includes initiating, terminating, and fully managing the volume of data. (Subject to refinement and modification)</w:t>
            </w:r>
          </w:p>
          <w:p w14:paraId="01785555" w14:textId="77777777" w:rsidR="00CF3A61" w:rsidRPr="00141E1D" w:rsidRDefault="00CF3A61" w:rsidP="00CF3A61">
            <w:pPr>
              <w:pStyle w:val="ListParagraph"/>
              <w:widowControl w:val="0"/>
              <w:numPr>
                <w:ilvl w:val="0"/>
                <w:numId w:val="30"/>
              </w:numPr>
              <w:contextualSpacing w:val="0"/>
              <w:jc w:val="both"/>
              <w:rPr>
                <w:rFonts w:ascii="Arial" w:eastAsia="Yu Mincho" w:hAnsi="Arial" w:cs="Arial"/>
                <w:lang w:val="en-GB" w:eastAsia="ja-JP"/>
              </w:rPr>
            </w:pPr>
            <w:r w:rsidRPr="00141E1D">
              <w:rPr>
                <w:rFonts w:ascii="Arial" w:eastAsia="Yu Mincho" w:hAnsi="Arial" w:cs="Arial"/>
                <w:lang w:val="en-GB" w:eastAsia="ja-JP"/>
              </w:rPr>
              <w:t xml:space="preserve">Note 2: Visibility of data content signifies the capability of the MNO to, at least, be aware of, access, and comprehend the data during transfer. (Subject to refinement and modification, the scope does not exclude additional requisites, such as the ability to modify the collected data.) </w:t>
            </w:r>
          </w:p>
        </w:tc>
      </w:tr>
      <w:bookmarkEnd w:id="9"/>
    </w:tbl>
    <w:p w14:paraId="782CC7A0" w14:textId="77777777" w:rsidR="00CF3A61" w:rsidRPr="00141E1D" w:rsidRDefault="00CF3A61" w:rsidP="00CF3A61">
      <w:pPr>
        <w:rPr>
          <w:rFonts w:ascii="Arial" w:hAnsi="Arial" w:cs="Arial"/>
        </w:rPr>
      </w:pPr>
    </w:p>
    <w:p w14:paraId="435876C8" w14:textId="77777777" w:rsidR="00195DDD" w:rsidRDefault="00675B27" w:rsidP="00CF3A61">
      <w:pPr>
        <w:rPr>
          <w:rFonts w:ascii="Arial" w:hAnsi="Arial" w:cs="Arial"/>
        </w:rPr>
      </w:pPr>
      <w:r w:rsidRPr="00141E1D">
        <w:rPr>
          <w:rFonts w:ascii="Arial" w:hAnsi="Arial" w:cs="Arial"/>
        </w:rPr>
        <w:lastRenderedPageBreak/>
        <w:t>This paper discusses FFS items for solution 1b).</w:t>
      </w:r>
      <w:r w:rsidR="00195DDD" w:rsidRPr="00141E1D">
        <w:rPr>
          <w:rFonts w:ascii="Arial" w:hAnsi="Arial" w:cs="Arial"/>
        </w:rPr>
        <w:t xml:space="preserve"> This paper discusses controllability and visibility aspects associated with solution 1b) considering </w:t>
      </w:r>
      <w:proofErr w:type="spellStart"/>
      <w:r w:rsidR="00195DDD" w:rsidRPr="00141E1D">
        <w:rPr>
          <w:rFonts w:ascii="Arial" w:hAnsi="Arial" w:cs="Arial"/>
        </w:rPr>
        <w:t>Eevent</w:t>
      </w:r>
      <w:proofErr w:type="spellEnd"/>
      <w:r w:rsidR="00195DDD" w:rsidRPr="00141E1D">
        <w:rPr>
          <w:rFonts w:ascii="Arial" w:hAnsi="Arial" w:cs="Arial"/>
        </w:rPr>
        <w:t xml:space="preserve"> Exposure (EVEX) as a reference. </w:t>
      </w:r>
    </w:p>
    <w:p w14:paraId="2CCDD591" w14:textId="77777777" w:rsidR="00E05CEC" w:rsidRPr="00141E1D" w:rsidRDefault="00E05CEC" w:rsidP="00CF3A61">
      <w:pPr>
        <w:rPr>
          <w:rFonts w:ascii="Arial" w:hAnsi="Arial" w:cs="Arial"/>
        </w:rPr>
      </w:pPr>
    </w:p>
    <w:p w14:paraId="2170960A" w14:textId="74C0ED98" w:rsidR="00675B27" w:rsidRPr="00141E1D" w:rsidRDefault="00195DDD" w:rsidP="00195DDD">
      <w:pPr>
        <w:rPr>
          <w:rFonts w:ascii="Arial" w:hAnsi="Arial" w:cs="Arial"/>
        </w:rPr>
        <w:sectPr w:rsidR="00675B27" w:rsidRPr="00141E1D" w:rsidSect="00C71A45">
          <w:pgSz w:w="16838" w:h="11906" w:orient="landscape"/>
          <w:pgMar w:top="1440" w:right="1440" w:bottom="1440" w:left="1440" w:header="720" w:footer="720" w:gutter="0"/>
          <w:cols w:space="720"/>
        </w:sectPr>
      </w:pPr>
      <w:r w:rsidRPr="00141E1D">
        <w:rPr>
          <w:rFonts w:ascii="Arial" w:hAnsi="Arial" w:cs="Arial"/>
        </w:rPr>
        <w:t>Note that we are considering E</w:t>
      </w:r>
      <w:r w:rsidR="008C6F22">
        <w:rPr>
          <w:rFonts w:ascii="Arial" w:hAnsi="Arial" w:cs="Arial"/>
        </w:rPr>
        <w:t>V</w:t>
      </w:r>
      <w:r w:rsidRPr="00141E1D">
        <w:rPr>
          <w:rFonts w:ascii="Arial" w:hAnsi="Arial" w:cs="Arial"/>
        </w:rPr>
        <w:t xml:space="preserve">EX as an example for solution 1b), and we do not argue that EVEX should be used for solution 1b). We are taking EVEX as an example to discuss how </w:t>
      </w:r>
      <w:proofErr w:type="spellStart"/>
      <w:r w:rsidRPr="00141E1D">
        <w:rPr>
          <w:rFonts w:ascii="Arial" w:hAnsi="Arial" w:cs="Arial"/>
        </w:rPr>
        <w:t>a</w:t>
      </w:r>
      <w:proofErr w:type="spellEnd"/>
      <w:r w:rsidRPr="00141E1D">
        <w:rPr>
          <w:rFonts w:ascii="Arial" w:hAnsi="Arial" w:cs="Arial"/>
        </w:rPr>
        <w:t xml:space="preserve"> UP-based </w:t>
      </w:r>
      <w:r w:rsidR="00A20FF9">
        <w:rPr>
          <w:rFonts w:ascii="Arial" w:hAnsi="Arial" w:cs="Arial"/>
          <w:szCs w:val="20"/>
        </w:rPr>
        <w:t>data collection procedure</w:t>
      </w:r>
      <w:r w:rsidR="00A20FF9" w:rsidRPr="00F40CB3">
        <w:rPr>
          <w:rFonts w:ascii="Arial" w:hAnsi="Arial" w:cs="Arial"/>
          <w:szCs w:val="20"/>
        </w:rPr>
        <w:t xml:space="preserve"> </w:t>
      </w:r>
      <w:r w:rsidRPr="00141E1D">
        <w:rPr>
          <w:rFonts w:ascii="Arial" w:hAnsi="Arial" w:cs="Arial"/>
        </w:rPr>
        <w:t xml:space="preserve">can handle controllability and visibility. The solution details should be left to SA2. </w:t>
      </w:r>
    </w:p>
    <w:p w14:paraId="7C870F21" w14:textId="77777777" w:rsidR="00CF3A61" w:rsidRPr="00141E1D" w:rsidRDefault="00CF3A61" w:rsidP="00BE548B">
      <w:pPr>
        <w:pStyle w:val="BodyText"/>
        <w:jc w:val="left"/>
        <w:rPr>
          <w:rFonts w:ascii="Arial" w:hAnsi="Arial" w:cs="Arial"/>
        </w:rPr>
      </w:pPr>
    </w:p>
    <w:p w14:paraId="6C42E41E" w14:textId="06FA5F5E" w:rsidR="000A24BF" w:rsidRPr="00141E1D" w:rsidRDefault="00E73122"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141E1D">
        <w:rPr>
          <w:b w:val="0"/>
          <w:bCs w:val="0"/>
          <w:kern w:val="0"/>
        </w:rPr>
        <w:t>On the UE side Data Collection</w:t>
      </w:r>
    </w:p>
    <w:p w14:paraId="428BD16F" w14:textId="55F6181C" w:rsidR="001F5948" w:rsidRPr="00F40CB3" w:rsidRDefault="001F5948" w:rsidP="001F5948">
      <w:pPr>
        <w:rPr>
          <w:rFonts w:ascii="Arial" w:hAnsi="Arial" w:cs="Arial"/>
          <w:szCs w:val="20"/>
        </w:rPr>
      </w:pPr>
      <w:r w:rsidRPr="00F40CB3">
        <w:rPr>
          <w:rFonts w:ascii="Arial" w:hAnsi="Arial" w:cs="Arial"/>
          <w:szCs w:val="20"/>
        </w:rPr>
        <w:t xml:space="preserve">As discussed above, this paper discusses controllability and visibility aspects associated with solution 1b) considering Event Exposure (EVEX) </w:t>
      </w:r>
      <w:r w:rsidR="009E1366">
        <w:rPr>
          <w:rFonts w:ascii="Arial" w:hAnsi="Arial" w:cs="Arial"/>
          <w:szCs w:val="20"/>
        </w:rPr>
        <w:t xml:space="preserve">data collection framework </w:t>
      </w:r>
      <w:r w:rsidRPr="00F40CB3">
        <w:rPr>
          <w:rFonts w:ascii="Arial" w:hAnsi="Arial" w:cs="Arial"/>
          <w:szCs w:val="20"/>
        </w:rPr>
        <w:t>as a reference. We are considering E</w:t>
      </w:r>
      <w:r w:rsidR="008C6F22">
        <w:rPr>
          <w:rFonts w:ascii="Arial" w:hAnsi="Arial" w:cs="Arial"/>
          <w:szCs w:val="20"/>
        </w:rPr>
        <w:t>V</w:t>
      </w:r>
      <w:r w:rsidRPr="00F40CB3">
        <w:rPr>
          <w:rFonts w:ascii="Arial" w:hAnsi="Arial" w:cs="Arial"/>
          <w:szCs w:val="20"/>
        </w:rPr>
        <w:t xml:space="preserve">EX as an example for solution 1b), and we do not argue that EVEX should be used for solution 1b). We are taking EVEX as an example to discuss how </w:t>
      </w:r>
      <w:proofErr w:type="spellStart"/>
      <w:r w:rsidRPr="00F40CB3">
        <w:rPr>
          <w:rFonts w:ascii="Arial" w:hAnsi="Arial" w:cs="Arial"/>
          <w:szCs w:val="20"/>
        </w:rPr>
        <w:t>a</w:t>
      </w:r>
      <w:proofErr w:type="spellEnd"/>
      <w:r w:rsidRPr="00F40CB3">
        <w:rPr>
          <w:rFonts w:ascii="Arial" w:hAnsi="Arial" w:cs="Arial"/>
          <w:szCs w:val="20"/>
        </w:rPr>
        <w:t xml:space="preserve"> UP-based </w:t>
      </w:r>
      <w:r w:rsidR="009F423D">
        <w:rPr>
          <w:rFonts w:ascii="Arial" w:hAnsi="Arial" w:cs="Arial"/>
          <w:szCs w:val="20"/>
        </w:rPr>
        <w:t>data collection procedure</w:t>
      </w:r>
      <w:r w:rsidR="009F423D" w:rsidRPr="00F40CB3">
        <w:rPr>
          <w:rFonts w:ascii="Arial" w:hAnsi="Arial" w:cs="Arial"/>
          <w:szCs w:val="20"/>
        </w:rPr>
        <w:t xml:space="preserve"> </w:t>
      </w:r>
      <w:r w:rsidRPr="00F40CB3">
        <w:rPr>
          <w:rFonts w:ascii="Arial" w:hAnsi="Arial" w:cs="Arial"/>
          <w:szCs w:val="20"/>
        </w:rPr>
        <w:t xml:space="preserve">can handle controllability and visibility. The solution details should be left to SA2.   </w:t>
      </w:r>
    </w:p>
    <w:p w14:paraId="53DA17EC" w14:textId="77777777" w:rsidR="001F5948" w:rsidRPr="00F40CB3" w:rsidRDefault="001F5948" w:rsidP="001F5948">
      <w:pPr>
        <w:pStyle w:val="ListParagraph"/>
        <w:ind w:left="425"/>
        <w:rPr>
          <w:rFonts w:ascii="Arial" w:hAnsi="Arial" w:cs="Arial"/>
          <w:szCs w:val="20"/>
        </w:rPr>
      </w:pPr>
    </w:p>
    <w:p w14:paraId="19E34330" w14:textId="4E342C14" w:rsidR="001F5948" w:rsidRPr="00F40CB3" w:rsidRDefault="00931230" w:rsidP="00EE2FAB">
      <w:pPr>
        <w:spacing w:after="120"/>
        <w:outlineLvl w:val="1"/>
        <w:rPr>
          <w:rFonts w:ascii="Arial" w:hAnsi="Arial" w:cs="Arial"/>
          <w:b/>
          <w:bCs/>
          <w:szCs w:val="20"/>
        </w:rPr>
      </w:pPr>
      <w:r w:rsidRPr="00F40CB3">
        <w:rPr>
          <w:rFonts w:ascii="Arial" w:hAnsi="Arial" w:cs="Arial"/>
          <w:b/>
          <w:bCs/>
          <w:szCs w:val="20"/>
        </w:rPr>
        <w:t>2.1 Controllability of Data Collection for Solution 1b)</w:t>
      </w:r>
    </w:p>
    <w:p w14:paraId="02058772" w14:textId="748B918E" w:rsidR="00141E1D" w:rsidRPr="00F40CB3" w:rsidRDefault="00141E1D" w:rsidP="002426BE">
      <w:pPr>
        <w:rPr>
          <w:rFonts w:ascii="Arial" w:hAnsi="Arial" w:cs="Arial"/>
          <w:szCs w:val="20"/>
        </w:rPr>
      </w:pPr>
      <w:r w:rsidRPr="00F40CB3">
        <w:rPr>
          <w:rFonts w:ascii="Arial" w:hAnsi="Arial" w:cs="Arial"/>
          <w:szCs w:val="20"/>
        </w:rPr>
        <w:t xml:space="preserve">As defined in TS 26.531 [5], the provisioning information </w:t>
      </w:r>
      <w:proofErr w:type="gramStart"/>
      <w:r w:rsidRPr="00F40CB3">
        <w:rPr>
          <w:rFonts w:ascii="Arial" w:hAnsi="Arial" w:cs="Arial"/>
          <w:szCs w:val="20"/>
        </w:rPr>
        <w:t>specifies</w:t>
      </w:r>
      <w:proofErr w:type="gramEnd"/>
      <w:r w:rsidRPr="00F40CB3">
        <w:rPr>
          <w:rFonts w:ascii="Arial" w:hAnsi="Arial" w:cs="Arial"/>
          <w:szCs w:val="20"/>
        </w:rPr>
        <w:t xml:space="preserve">  </w:t>
      </w:r>
    </w:p>
    <w:p w14:paraId="687B2C98" w14:textId="77777777" w:rsidR="00141E1D" w:rsidRPr="00F40CB3" w:rsidRDefault="00141E1D" w:rsidP="00141E1D">
      <w:pPr>
        <w:pStyle w:val="ListParagraph"/>
        <w:numPr>
          <w:ilvl w:val="0"/>
          <w:numId w:val="23"/>
        </w:numPr>
        <w:rPr>
          <w:rFonts w:ascii="Arial" w:hAnsi="Arial" w:cs="Arial"/>
          <w:szCs w:val="20"/>
        </w:rPr>
      </w:pPr>
      <w:r w:rsidRPr="00F40CB3">
        <w:rPr>
          <w:rFonts w:ascii="Arial" w:hAnsi="Arial" w:cs="Arial"/>
          <w:szCs w:val="20"/>
        </w:rPr>
        <w:t xml:space="preserve">What data is to be collected, </w:t>
      </w:r>
    </w:p>
    <w:p w14:paraId="514F5118" w14:textId="033A4972" w:rsidR="00141E1D" w:rsidRPr="00F40CB3" w:rsidRDefault="00141E1D" w:rsidP="00141E1D">
      <w:pPr>
        <w:pStyle w:val="ListParagraph"/>
        <w:numPr>
          <w:ilvl w:val="0"/>
          <w:numId w:val="23"/>
        </w:numPr>
        <w:rPr>
          <w:rFonts w:ascii="Arial" w:hAnsi="Arial" w:cs="Arial"/>
          <w:szCs w:val="20"/>
        </w:rPr>
      </w:pPr>
      <w:r w:rsidRPr="00F40CB3">
        <w:rPr>
          <w:rFonts w:ascii="Arial" w:hAnsi="Arial" w:cs="Arial"/>
          <w:szCs w:val="20"/>
        </w:rPr>
        <w:t>How that data is to be sampled by data collection clients (e.g., sampling frequency, location filter),</w:t>
      </w:r>
    </w:p>
    <w:p w14:paraId="69198CD6" w14:textId="66CF1376" w:rsidR="00141E1D" w:rsidRPr="00F40CB3" w:rsidRDefault="00141E1D" w:rsidP="00141E1D">
      <w:pPr>
        <w:pStyle w:val="ListParagraph"/>
        <w:numPr>
          <w:ilvl w:val="0"/>
          <w:numId w:val="23"/>
        </w:numPr>
        <w:rPr>
          <w:rFonts w:ascii="Arial" w:hAnsi="Arial" w:cs="Arial"/>
          <w:szCs w:val="20"/>
        </w:rPr>
      </w:pPr>
      <w:r w:rsidRPr="00F40CB3">
        <w:rPr>
          <w:rFonts w:ascii="Arial" w:hAnsi="Arial" w:cs="Arial"/>
          <w:szCs w:val="20"/>
        </w:rPr>
        <w:t xml:space="preserve">How the collected data is to be reported (e.g., reporting probability, reporting frequency, reporting format, data packaging strategy), </w:t>
      </w:r>
    </w:p>
    <w:p w14:paraId="7D0B5402" w14:textId="4AD2171B" w:rsidR="00141E1D" w:rsidRPr="00F40CB3" w:rsidRDefault="00141E1D" w:rsidP="00141E1D">
      <w:pPr>
        <w:pStyle w:val="ListParagraph"/>
        <w:numPr>
          <w:ilvl w:val="0"/>
          <w:numId w:val="23"/>
        </w:numPr>
        <w:rPr>
          <w:rFonts w:ascii="Arial" w:hAnsi="Arial" w:cs="Arial"/>
          <w:szCs w:val="20"/>
        </w:rPr>
      </w:pPr>
      <w:r w:rsidRPr="00F40CB3">
        <w:rPr>
          <w:rFonts w:ascii="Arial" w:hAnsi="Arial" w:cs="Arial"/>
          <w:szCs w:val="20"/>
        </w:rPr>
        <w:t xml:space="preserve">How provisioning information is to be processed by the Data Collection AF, and </w:t>
      </w:r>
    </w:p>
    <w:p w14:paraId="4733A6AA" w14:textId="220A8BC0" w:rsidR="00141E1D" w:rsidRPr="00F40CB3" w:rsidRDefault="00141E1D" w:rsidP="00862C1D">
      <w:pPr>
        <w:pStyle w:val="ListParagraph"/>
        <w:numPr>
          <w:ilvl w:val="0"/>
          <w:numId w:val="23"/>
        </w:numPr>
        <w:rPr>
          <w:rFonts w:ascii="Arial" w:hAnsi="Arial" w:cs="Arial"/>
          <w:szCs w:val="20"/>
        </w:rPr>
      </w:pPr>
      <w:r w:rsidRPr="00F40CB3">
        <w:rPr>
          <w:rFonts w:ascii="Arial" w:hAnsi="Arial" w:cs="Arial"/>
          <w:szCs w:val="20"/>
        </w:rPr>
        <w:t>How provisioning information is to be exposed to event notification subscribers</w:t>
      </w:r>
      <w:r w:rsidR="00EE2FAB" w:rsidRPr="00F40CB3">
        <w:rPr>
          <w:rFonts w:ascii="Arial" w:hAnsi="Arial" w:cs="Arial"/>
          <w:szCs w:val="20"/>
        </w:rPr>
        <w:t>.</w:t>
      </w:r>
    </w:p>
    <w:p w14:paraId="5927F90F" w14:textId="77777777" w:rsidR="00EE2FAB" w:rsidRPr="00F40CB3" w:rsidRDefault="00EE2FAB" w:rsidP="00EE2FAB">
      <w:pPr>
        <w:rPr>
          <w:rFonts w:ascii="Arial" w:hAnsi="Arial" w:cs="Arial"/>
          <w:szCs w:val="20"/>
        </w:rPr>
      </w:pPr>
    </w:p>
    <w:p w14:paraId="294FF757" w14:textId="73A87653" w:rsidR="00141E1D" w:rsidRPr="00F40CB3" w:rsidRDefault="00141E1D" w:rsidP="002426BE">
      <w:pPr>
        <w:rPr>
          <w:rFonts w:ascii="Arial" w:hAnsi="Arial" w:cs="Arial"/>
          <w:b/>
          <w:bCs/>
          <w:szCs w:val="20"/>
        </w:rPr>
      </w:pPr>
      <w:r w:rsidRPr="00F40CB3">
        <w:rPr>
          <w:rFonts w:ascii="Arial" w:hAnsi="Arial" w:cs="Arial"/>
          <w:b/>
          <w:bCs/>
          <w:szCs w:val="20"/>
        </w:rPr>
        <w:t xml:space="preserve">Observation 1: Considering the EVEX as an example of solution 1b), the provisioning information </w:t>
      </w:r>
      <w:proofErr w:type="gramStart"/>
      <w:r w:rsidRPr="00F40CB3">
        <w:rPr>
          <w:rFonts w:ascii="Arial" w:hAnsi="Arial" w:cs="Arial"/>
          <w:b/>
          <w:bCs/>
          <w:szCs w:val="20"/>
        </w:rPr>
        <w:t>specifies</w:t>
      </w:r>
      <w:proofErr w:type="gramEnd"/>
      <w:r w:rsidRPr="00F40CB3">
        <w:rPr>
          <w:rFonts w:ascii="Arial" w:hAnsi="Arial" w:cs="Arial"/>
          <w:b/>
          <w:bCs/>
          <w:szCs w:val="20"/>
        </w:rPr>
        <w:t xml:space="preserve"> </w:t>
      </w:r>
    </w:p>
    <w:p w14:paraId="3E9D729E" w14:textId="77777777" w:rsidR="00141E1D" w:rsidRPr="00F40CB3" w:rsidRDefault="00141E1D" w:rsidP="00141E1D">
      <w:pPr>
        <w:pStyle w:val="ListParagraph"/>
        <w:numPr>
          <w:ilvl w:val="0"/>
          <w:numId w:val="23"/>
        </w:numPr>
        <w:rPr>
          <w:rFonts w:ascii="Arial" w:hAnsi="Arial" w:cs="Arial"/>
          <w:b/>
          <w:bCs/>
          <w:szCs w:val="20"/>
        </w:rPr>
      </w:pPr>
      <w:r w:rsidRPr="00F40CB3">
        <w:rPr>
          <w:rFonts w:ascii="Arial" w:hAnsi="Arial" w:cs="Arial"/>
          <w:b/>
          <w:bCs/>
          <w:szCs w:val="20"/>
        </w:rPr>
        <w:t xml:space="preserve">What data is to be collected, </w:t>
      </w:r>
    </w:p>
    <w:p w14:paraId="3942ECF8" w14:textId="77777777" w:rsidR="00141E1D" w:rsidRPr="00F40CB3" w:rsidRDefault="00141E1D" w:rsidP="00141E1D">
      <w:pPr>
        <w:pStyle w:val="ListParagraph"/>
        <w:numPr>
          <w:ilvl w:val="0"/>
          <w:numId w:val="23"/>
        </w:numPr>
        <w:rPr>
          <w:rFonts w:ascii="Arial" w:hAnsi="Arial" w:cs="Arial"/>
          <w:b/>
          <w:bCs/>
          <w:szCs w:val="20"/>
        </w:rPr>
      </w:pPr>
      <w:r w:rsidRPr="00F40CB3">
        <w:rPr>
          <w:rFonts w:ascii="Arial" w:hAnsi="Arial" w:cs="Arial"/>
          <w:b/>
          <w:bCs/>
          <w:szCs w:val="20"/>
        </w:rPr>
        <w:t>How that data is to be sampled by data collection clients (e.g., sampling frequency, location filter),</w:t>
      </w:r>
    </w:p>
    <w:p w14:paraId="5789AA34" w14:textId="77777777" w:rsidR="00141E1D" w:rsidRPr="00F40CB3" w:rsidRDefault="00141E1D" w:rsidP="00141E1D">
      <w:pPr>
        <w:pStyle w:val="ListParagraph"/>
        <w:numPr>
          <w:ilvl w:val="0"/>
          <w:numId w:val="23"/>
        </w:numPr>
        <w:rPr>
          <w:rFonts w:ascii="Arial" w:hAnsi="Arial" w:cs="Arial"/>
          <w:b/>
          <w:bCs/>
          <w:szCs w:val="20"/>
        </w:rPr>
      </w:pPr>
      <w:r w:rsidRPr="00F40CB3">
        <w:rPr>
          <w:rFonts w:ascii="Arial" w:hAnsi="Arial" w:cs="Arial"/>
          <w:b/>
          <w:bCs/>
          <w:szCs w:val="20"/>
        </w:rPr>
        <w:t xml:space="preserve">How the collected data is to be reported (e.g., reporting probability, reporting frequency, reporting format, data packaging strategy), </w:t>
      </w:r>
    </w:p>
    <w:p w14:paraId="3ED2BFE3" w14:textId="77777777" w:rsidR="00141E1D" w:rsidRPr="00F40CB3" w:rsidRDefault="00141E1D" w:rsidP="00141E1D">
      <w:pPr>
        <w:pStyle w:val="ListParagraph"/>
        <w:numPr>
          <w:ilvl w:val="0"/>
          <w:numId w:val="23"/>
        </w:numPr>
        <w:rPr>
          <w:rFonts w:ascii="Arial" w:hAnsi="Arial" w:cs="Arial"/>
          <w:b/>
          <w:bCs/>
          <w:szCs w:val="20"/>
        </w:rPr>
      </w:pPr>
      <w:r w:rsidRPr="00F40CB3">
        <w:rPr>
          <w:rFonts w:ascii="Arial" w:hAnsi="Arial" w:cs="Arial"/>
          <w:b/>
          <w:bCs/>
          <w:szCs w:val="20"/>
        </w:rPr>
        <w:t xml:space="preserve">How provisioning information is to be processed by the Data Collection AF, and </w:t>
      </w:r>
    </w:p>
    <w:p w14:paraId="4DB1F1FE" w14:textId="6C100D15" w:rsidR="00141E1D" w:rsidRPr="00F40CB3" w:rsidRDefault="00141E1D" w:rsidP="00141E1D">
      <w:pPr>
        <w:pStyle w:val="ListParagraph"/>
        <w:numPr>
          <w:ilvl w:val="0"/>
          <w:numId w:val="23"/>
        </w:numPr>
        <w:rPr>
          <w:rFonts w:ascii="Arial" w:hAnsi="Arial" w:cs="Arial"/>
          <w:b/>
          <w:bCs/>
          <w:szCs w:val="20"/>
        </w:rPr>
      </w:pPr>
      <w:r w:rsidRPr="00F40CB3">
        <w:rPr>
          <w:rFonts w:ascii="Arial" w:hAnsi="Arial" w:cs="Arial"/>
          <w:b/>
          <w:bCs/>
          <w:szCs w:val="20"/>
        </w:rPr>
        <w:t xml:space="preserve">How provisioning information is to be exposed to event notification </w:t>
      </w:r>
      <w:proofErr w:type="gramStart"/>
      <w:r w:rsidRPr="00F40CB3">
        <w:rPr>
          <w:rFonts w:ascii="Arial" w:hAnsi="Arial" w:cs="Arial"/>
          <w:b/>
          <w:bCs/>
          <w:szCs w:val="20"/>
        </w:rPr>
        <w:t>subscribers</w:t>
      </w:r>
      <w:proofErr w:type="gramEnd"/>
    </w:p>
    <w:p w14:paraId="0960D492" w14:textId="184AE971" w:rsidR="00141E1D" w:rsidRPr="00F40CB3" w:rsidRDefault="00141E1D" w:rsidP="002426BE">
      <w:pPr>
        <w:rPr>
          <w:rFonts w:ascii="Arial" w:hAnsi="Arial" w:cs="Arial"/>
          <w:szCs w:val="20"/>
        </w:rPr>
      </w:pPr>
    </w:p>
    <w:p w14:paraId="0978CF2D" w14:textId="5AE9207E" w:rsidR="00141E1D" w:rsidRPr="00F40CB3" w:rsidRDefault="00141E1D" w:rsidP="002426BE">
      <w:pPr>
        <w:rPr>
          <w:rFonts w:ascii="Arial" w:hAnsi="Arial" w:cs="Arial"/>
          <w:szCs w:val="20"/>
        </w:rPr>
      </w:pPr>
      <w:r w:rsidRPr="00F40CB3">
        <w:rPr>
          <w:rFonts w:ascii="Arial" w:hAnsi="Arial" w:cs="Arial"/>
          <w:szCs w:val="20"/>
        </w:rPr>
        <w:t xml:space="preserve">Furthermore, as defined in TS 26.531 [5], this provisioning information embodies the Service Level Agreement between the network operator and the Application Service Provider envisaged in clause 6.2.8.1 of TS 23.288 [4]. </w:t>
      </w:r>
    </w:p>
    <w:p w14:paraId="0C5EC1F3" w14:textId="77777777" w:rsidR="00141E1D" w:rsidRPr="00F40CB3" w:rsidRDefault="00141E1D" w:rsidP="002426BE">
      <w:pPr>
        <w:rPr>
          <w:rFonts w:ascii="Arial" w:hAnsi="Arial" w:cs="Arial"/>
          <w:szCs w:val="20"/>
        </w:rPr>
      </w:pPr>
    </w:p>
    <w:p w14:paraId="6E0428DF" w14:textId="75DDE378" w:rsidR="00141E1D" w:rsidRPr="00F40CB3" w:rsidRDefault="00141E1D" w:rsidP="002426BE">
      <w:pPr>
        <w:rPr>
          <w:rFonts w:ascii="Arial" w:hAnsi="Arial" w:cs="Arial"/>
          <w:b/>
          <w:bCs/>
          <w:szCs w:val="20"/>
        </w:rPr>
      </w:pPr>
      <w:r w:rsidRPr="00F40CB3">
        <w:rPr>
          <w:rFonts w:ascii="Arial" w:hAnsi="Arial" w:cs="Arial"/>
          <w:b/>
          <w:bCs/>
          <w:szCs w:val="20"/>
        </w:rPr>
        <w:t>Observation 2: Considering the EVEX as an example of solution 1b), the provisioning information is based on the Service Level Agreement between the network operator and the Application Service Provider.</w:t>
      </w:r>
    </w:p>
    <w:p w14:paraId="1F410578" w14:textId="77777777" w:rsidR="00141E1D" w:rsidRPr="00F40CB3" w:rsidRDefault="00141E1D" w:rsidP="002426BE">
      <w:pPr>
        <w:rPr>
          <w:rFonts w:ascii="Arial" w:hAnsi="Arial" w:cs="Arial"/>
          <w:szCs w:val="20"/>
        </w:rPr>
      </w:pPr>
    </w:p>
    <w:p w14:paraId="2FAE398D" w14:textId="16564937" w:rsidR="002426BE" w:rsidRPr="00F40CB3" w:rsidRDefault="00141E1D" w:rsidP="002426BE">
      <w:pPr>
        <w:rPr>
          <w:rFonts w:ascii="Arial" w:hAnsi="Arial" w:cs="Arial"/>
          <w:szCs w:val="20"/>
        </w:rPr>
      </w:pPr>
      <w:r w:rsidRPr="00F40CB3">
        <w:rPr>
          <w:rFonts w:ascii="Arial" w:hAnsi="Arial" w:cs="Arial"/>
          <w:szCs w:val="20"/>
        </w:rPr>
        <w:t>Based on the Service Level Agreement between the Application Service Provider and the network operator, the E</w:t>
      </w:r>
      <w:r w:rsidR="008C6F22">
        <w:rPr>
          <w:rFonts w:ascii="Arial" w:hAnsi="Arial" w:cs="Arial"/>
          <w:szCs w:val="20"/>
        </w:rPr>
        <w:t>V</w:t>
      </w:r>
      <w:r w:rsidR="001F5948" w:rsidRPr="00F40CB3">
        <w:rPr>
          <w:rFonts w:ascii="Arial" w:hAnsi="Arial" w:cs="Arial"/>
          <w:szCs w:val="20"/>
        </w:rPr>
        <w:t xml:space="preserve">EX ‘data collection and reporting’ considers two </w:t>
      </w:r>
      <w:r w:rsidR="002426BE" w:rsidRPr="00F40CB3">
        <w:rPr>
          <w:rFonts w:ascii="Arial" w:hAnsi="Arial" w:cs="Arial"/>
          <w:szCs w:val="20"/>
        </w:rPr>
        <w:t>UE data domains [5]</w:t>
      </w:r>
    </w:p>
    <w:p w14:paraId="7A8C752E" w14:textId="25D22828" w:rsidR="001F5948" w:rsidRPr="00F40CB3" w:rsidRDefault="002426BE" w:rsidP="002426BE">
      <w:pPr>
        <w:pStyle w:val="ListParagraph"/>
        <w:numPr>
          <w:ilvl w:val="0"/>
          <w:numId w:val="23"/>
        </w:numPr>
        <w:rPr>
          <w:rFonts w:ascii="Arial" w:hAnsi="Arial" w:cs="Arial"/>
          <w:szCs w:val="20"/>
        </w:rPr>
      </w:pPr>
      <w:r w:rsidRPr="00F40CB3">
        <w:rPr>
          <w:rFonts w:ascii="Arial" w:hAnsi="Arial" w:cs="Arial"/>
          <w:szCs w:val="20"/>
        </w:rPr>
        <w:t xml:space="preserve">UE data domain owned by 5G System (MNO), and </w:t>
      </w:r>
    </w:p>
    <w:p w14:paraId="0C940EFC" w14:textId="474C8A74" w:rsidR="002426BE" w:rsidRPr="00F40CB3" w:rsidRDefault="002426BE" w:rsidP="002426BE">
      <w:pPr>
        <w:pStyle w:val="ListParagraph"/>
        <w:numPr>
          <w:ilvl w:val="0"/>
          <w:numId w:val="23"/>
        </w:numPr>
        <w:rPr>
          <w:rFonts w:ascii="Arial" w:hAnsi="Arial" w:cs="Arial"/>
          <w:szCs w:val="20"/>
        </w:rPr>
      </w:pPr>
      <w:r w:rsidRPr="00F40CB3">
        <w:rPr>
          <w:rFonts w:ascii="Arial" w:hAnsi="Arial" w:cs="Arial"/>
          <w:szCs w:val="20"/>
        </w:rPr>
        <w:t xml:space="preserve">UE data domain owned by the </w:t>
      </w:r>
      <w:proofErr w:type="gramStart"/>
      <w:r w:rsidRPr="00F40CB3">
        <w:rPr>
          <w:rFonts w:ascii="Arial" w:hAnsi="Arial" w:cs="Arial"/>
          <w:szCs w:val="20"/>
        </w:rPr>
        <w:t>ASP</w:t>
      </w:r>
      <w:proofErr w:type="gramEnd"/>
    </w:p>
    <w:p w14:paraId="719763B8" w14:textId="77777777" w:rsidR="002426BE" w:rsidRPr="00F40CB3" w:rsidRDefault="002426BE" w:rsidP="002426BE">
      <w:pPr>
        <w:rPr>
          <w:rFonts w:ascii="Arial" w:hAnsi="Arial" w:cs="Arial"/>
          <w:szCs w:val="20"/>
        </w:rPr>
      </w:pPr>
    </w:p>
    <w:p w14:paraId="0AC62845" w14:textId="77777777" w:rsidR="008E1BD2" w:rsidRPr="00F40CB3" w:rsidRDefault="002426BE" w:rsidP="002426BE">
      <w:pPr>
        <w:rPr>
          <w:rFonts w:ascii="Arial" w:hAnsi="Arial" w:cs="Arial"/>
          <w:szCs w:val="20"/>
        </w:rPr>
      </w:pPr>
      <w:r w:rsidRPr="00F40CB3">
        <w:rPr>
          <w:rFonts w:ascii="Arial" w:hAnsi="Arial" w:cs="Arial"/>
          <w:szCs w:val="20"/>
        </w:rPr>
        <w:t xml:space="preserve">For the UE data domain owned by the 5G system, the 5G system (MNO) has precedence over the data collection and reporting rules. MNO policies on event exposure (for example, regarding anonymization and aggregation) shall take precedence over any data exposure restrictions provisioned by the ASP as part of a Data Access Profile. </w:t>
      </w:r>
    </w:p>
    <w:p w14:paraId="785A980A" w14:textId="77777777" w:rsidR="00DC7938" w:rsidRPr="00F40CB3" w:rsidRDefault="00DC7938" w:rsidP="002426BE">
      <w:pPr>
        <w:rPr>
          <w:rFonts w:ascii="Arial" w:hAnsi="Arial" w:cs="Arial"/>
          <w:szCs w:val="20"/>
        </w:rPr>
      </w:pPr>
    </w:p>
    <w:p w14:paraId="6045573F" w14:textId="714EC6CE" w:rsidR="00DC7938" w:rsidRPr="00F40CB3" w:rsidRDefault="00DC7938" w:rsidP="002426BE">
      <w:pPr>
        <w:rPr>
          <w:rFonts w:ascii="Arial" w:hAnsi="Arial" w:cs="Arial"/>
          <w:b/>
          <w:bCs/>
          <w:szCs w:val="20"/>
        </w:rPr>
      </w:pPr>
      <w:r w:rsidRPr="00F40CB3">
        <w:rPr>
          <w:rFonts w:ascii="Arial" w:hAnsi="Arial" w:cs="Arial"/>
          <w:b/>
          <w:bCs/>
          <w:szCs w:val="20"/>
        </w:rPr>
        <w:t xml:space="preserve">Observation </w:t>
      </w:r>
      <w:r w:rsidR="00141E1D" w:rsidRPr="00F40CB3">
        <w:rPr>
          <w:rFonts w:ascii="Arial" w:hAnsi="Arial" w:cs="Arial"/>
          <w:b/>
          <w:bCs/>
          <w:szCs w:val="20"/>
        </w:rPr>
        <w:t>3</w:t>
      </w:r>
      <w:r w:rsidRPr="00F40CB3">
        <w:rPr>
          <w:rFonts w:ascii="Arial" w:hAnsi="Arial" w:cs="Arial"/>
          <w:b/>
          <w:bCs/>
          <w:szCs w:val="20"/>
        </w:rPr>
        <w:t xml:space="preserve">: Considering </w:t>
      </w:r>
      <w:r w:rsidR="00EE2FAB" w:rsidRPr="00F40CB3">
        <w:rPr>
          <w:rFonts w:ascii="Arial" w:hAnsi="Arial" w:cs="Arial"/>
          <w:b/>
          <w:bCs/>
          <w:szCs w:val="20"/>
        </w:rPr>
        <w:t xml:space="preserve">the </w:t>
      </w:r>
      <w:r w:rsidRPr="00F40CB3">
        <w:rPr>
          <w:rFonts w:ascii="Arial" w:hAnsi="Arial" w:cs="Arial"/>
          <w:b/>
          <w:bCs/>
          <w:szCs w:val="20"/>
        </w:rPr>
        <w:t xml:space="preserve">EVEX as one of the examples for solution 1b), the 5G system (MNO) has full control over the UE data domain owned by the 5G system. </w:t>
      </w:r>
    </w:p>
    <w:p w14:paraId="7966F5A7" w14:textId="77777777" w:rsidR="008E1BD2" w:rsidRPr="00F40CB3" w:rsidRDefault="008E1BD2" w:rsidP="002426BE">
      <w:pPr>
        <w:rPr>
          <w:rFonts w:ascii="Arial" w:hAnsi="Arial" w:cs="Arial"/>
          <w:szCs w:val="20"/>
        </w:rPr>
      </w:pPr>
    </w:p>
    <w:p w14:paraId="67BBB764" w14:textId="6560FA1F" w:rsidR="002426BE" w:rsidRPr="00F40CB3" w:rsidRDefault="008E1BD2" w:rsidP="002426BE">
      <w:pPr>
        <w:rPr>
          <w:rFonts w:ascii="Arial" w:hAnsi="Arial" w:cs="Arial"/>
          <w:szCs w:val="20"/>
        </w:rPr>
      </w:pPr>
      <w:r w:rsidRPr="00F40CB3">
        <w:rPr>
          <w:rFonts w:ascii="Arial" w:hAnsi="Arial" w:cs="Arial"/>
          <w:szCs w:val="20"/>
        </w:rPr>
        <w:t xml:space="preserve">For the data domain owned by the ASP, the </w:t>
      </w:r>
      <w:r w:rsidR="00141E1D" w:rsidRPr="00F40CB3">
        <w:rPr>
          <w:rFonts w:ascii="Arial" w:hAnsi="Arial" w:cs="Arial"/>
          <w:szCs w:val="20"/>
        </w:rPr>
        <w:t xml:space="preserve">ASP-defined provisioning information shall take precedence over any similar </w:t>
      </w:r>
      <w:proofErr w:type="spellStart"/>
      <w:r w:rsidR="00141E1D" w:rsidRPr="00F40CB3">
        <w:rPr>
          <w:rFonts w:ascii="Arial" w:hAnsi="Arial" w:cs="Arial"/>
          <w:szCs w:val="20"/>
        </w:rPr>
        <w:t>preconfiguration</w:t>
      </w:r>
      <w:proofErr w:type="spellEnd"/>
      <w:r w:rsidR="00141E1D" w:rsidRPr="00F40CB3">
        <w:rPr>
          <w:rFonts w:ascii="Arial" w:hAnsi="Arial" w:cs="Arial"/>
          <w:szCs w:val="20"/>
        </w:rPr>
        <w:t xml:space="preserve"> of the Data Collection AF and/or data collection clients by the 5G System operator. However, as discussed above, the provisioning information owned by ASP is based on the Service Level Agreement between the network operator and the Application Service Provider.</w:t>
      </w:r>
    </w:p>
    <w:p w14:paraId="2956B5D9" w14:textId="77777777" w:rsidR="00EE2FAB" w:rsidRPr="00F40CB3" w:rsidRDefault="00EE2FAB" w:rsidP="002426BE">
      <w:pPr>
        <w:rPr>
          <w:rFonts w:ascii="Arial" w:hAnsi="Arial" w:cs="Arial"/>
          <w:szCs w:val="20"/>
        </w:rPr>
      </w:pPr>
    </w:p>
    <w:p w14:paraId="438B86A2" w14:textId="7E0CB020" w:rsidR="00141E1D" w:rsidRPr="00F40CB3" w:rsidRDefault="00141E1D" w:rsidP="002426BE">
      <w:pPr>
        <w:rPr>
          <w:rFonts w:ascii="Arial" w:hAnsi="Arial" w:cs="Arial"/>
          <w:b/>
          <w:bCs/>
          <w:szCs w:val="20"/>
        </w:rPr>
      </w:pPr>
      <w:r w:rsidRPr="00F40CB3">
        <w:rPr>
          <w:rFonts w:ascii="Arial" w:hAnsi="Arial" w:cs="Arial"/>
          <w:b/>
          <w:bCs/>
          <w:szCs w:val="20"/>
        </w:rPr>
        <w:t xml:space="preserve">Observation 4: </w:t>
      </w:r>
      <w:r w:rsidR="00EE2FAB" w:rsidRPr="00F40CB3">
        <w:rPr>
          <w:rFonts w:ascii="Arial" w:hAnsi="Arial" w:cs="Arial"/>
          <w:b/>
          <w:bCs/>
          <w:szCs w:val="20"/>
        </w:rPr>
        <w:t xml:space="preserve">Considering the EVEX as one of the examples for solution 1b), the 5G system (MNO) has partial control over the UE data domain owned by the ASP. </w:t>
      </w:r>
    </w:p>
    <w:p w14:paraId="36F25363" w14:textId="77777777" w:rsidR="00EE2FAB" w:rsidRPr="00F40CB3" w:rsidRDefault="00EE2FAB" w:rsidP="002426BE">
      <w:pPr>
        <w:rPr>
          <w:rFonts w:ascii="Arial" w:hAnsi="Arial" w:cs="Arial"/>
          <w:b/>
          <w:bCs/>
          <w:szCs w:val="20"/>
        </w:rPr>
      </w:pPr>
    </w:p>
    <w:p w14:paraId="5E6D5945" w14:textId="338B6B85" w:rsidR="00EE2FAB" w:rsidRPr="00F40CB3" w:rsidRDefault="00EE2FAB" w:rsidP="002426BE">
      <w:pPr>
        <w:rPr>
          <w:rFonts w:ascii="Arial" w:hAnsi="Arial" w:cs="Arial"/>
          <w:b/>
          <w:bCs/>
          <w:szCs w:val="20"/>
        </w:rPr>
      </w:pPr>
      <w:r w:rsidRPr="00F40CB3">
        <w:rPr>
          <w:rFonts w:ascii="Arial" w:hAnsi="Arial" w:cs="Arial"/>
          <w:b/>
          <w:bCs/>
          <w:szCs w:val="20"/>
        </w:rPr>
        <w:t xml:space="preserve">Proposal 1: The MNO can have both full and partial control in solution 1b) </w:t>
      </w:r>
      <w:proofErr w:type="gramStart"/>
      <w:r w:rsidRPr="00F40CB3">
        <w:rPr>
          <w:rFonts w:ascii="Arial" w:hAnsi="Arial" w:cs="Arial"/>
          <w:b/>
          <w:bCs/>
          <w:szCs w:val="20"/>
        </w:rPr>
        <w:t>simultaneously</w:t>
      </w:r>
      <w:proofErr w:type="gramEnd"/>
      <w:r w:rsidRPr="00F40CB3">
        <w:rPr>
          <w:rFonts w:ascii="Arial" w:hAnsi="Arial" w:cs="Arial"/>
          <w:b/>
          <w:bCs/>
          <w:szCs w:val="20"/>
        </w:rPr>
        <w:t xml:space="preserve"> </w:t>
      </w:r>
    </w:p>
    <w:p w14:paraId="51B8F34A" w14:textId="77777777" w:rsidR="00EE2FAB" w:rsidRPr="00F40CB3" w:rsidRDefault="00EE2FAB" w:rsidP="00EE2FAB">
      <w:pPr>
        <w:pStyle w:val="ListParagraph"/>
        <w:numPr>
          <w:ilvl w:val="0"/>
          <w:numId w:val="23"/>
        </w:numPr>
        <w:rPr>
          <w:rFonts w:ascii="Arial" w:hAnsi="Arial" w:cs="Arial"/>
          <w:b/>
          <w:bCs/>
          <w:szCs w:val="20"/>
        </w:rPr>
      </w:pPr>
      <w:r w:rsidRPr="00F40CB3">
        <w:rPr>
          <w:rFonts w:ascii="Arial" w:hAnsi="Arial" w:cs="Arial"/>
          <w:b/>
          <w:bCs/>
          <w:szCs w:val="20"/>
        </w:rPr>
        <w:lastRenderedPageBreak/>
        <w:t xml:space="preserve">Full control over data domain owned by 5G system (MNO), and </w:t>
      </w:r>
    </w:p>
    <w:p w14:paraId="0A455CEC" w14:textId="3D56C7CF" w:rsidR="00EE2FAB" w:rsidRPr="00F40CB3" w:rsidRDefault="00EE2FAB" w:rsidP="002426BE">
      <w:pPr>
        <w:pStyle w:val="ListParagraph"/>
        <w:numPr>
          <w:ilvl w:val="0"/>
          <w:numId w:val="23"/>
        </w:numPr>
        <w:rPr>
          <w:rFonts w:ascii="Arial" w:hAnsi="Arial" w:cs="Arial"/>
          <w:b/>
          <w:bCs/>
          <w:szCs w:val="20"/>
        </w:rPr>
      </w:pPr>
      <w:r w:rsidRPr="00F40CB3">
        <w:rPr>
          <w:rFonts w:ascii="Arial" w:hAnsi="Arial" w:cs="Arial"/>
          <w:b/>
          <w:bCs/>
          <w:szCs w:val="20"/>
        </w:rPr>
        <w:t>Partial control over data domain owned by the UE vendors.</w:t>
      </w:r>
    </w:p>
    <w:p w14:paraId="6129FE06" w14:textId="77777777" w:rsidR="00141E1D" w:rsidRPr="00F40CB3" w:rsidRDefault="00141E1D" w:rsidP="002426BE">
      <w:pPr>
        <w:rPr>
          <w:rFonts w:ascii="Arial" w:hAnsi="Arial" w:cs="Arial"/>
          <w:szCs w:val="20"/>
        </w:rPr>
      </w:pPr>
    </w:p>
    <w:p w14:paraId="51D50C90" w14:textId="116707B4" w:rsidR="00EE2FAB" w:rsidRPr="00F40CB3" w:rsidRDefault="00EE2FAB" w:rsidP="00EE2FAB">
      <w:pPr>
        <w:spacing w:after="120"/>
        <w:outlineLvl w:val="1"/>
        <w:rPr>
          <w:rFonts w:ascii="Arial" w:hAnsi="Arial" w:cs="Arial"/>
          <w:b/>
          <w:bCs/>
          <w:szCs w:val="20"/>
        </w:rPr>
      </w:pPr>
      <w:r w:rsidRPr="00F40CB3">
        <w:rPr>
          <w:rFonts w:ascii="Arial" w:hAnsi="Arial" w:cs="Arial"/>
          <w:b/>
          <w:bCs/>
          <w:szCs w:val="20"/>
        </w:rPr>
        <w:t>2.2 Controllability of Data Collection for Solution 1b)</w:t>
      </w:r>
    </w:p>
    <w:p w14:paraId="2F14F3AD" w14:textId="4596B079" w:rsidR="00EE2FAB" w:rsidRPr="00F40CB3" w:rsidRDefault="00EE2FAB" w:rsidP="002426BE">
      <w:pPr>
        <w:rPr>
          <w:rFonts w:ascii="Arial" w:hAnsi="Arial" w:cs="Arial"/>
          <w:szCs w:val="20"/>
        </w:rPr>
      </w:pPr>
      <w:r w:rsidRPr="00F40CB3">
        <w:rPr>
          <w:rFonts w:ascii="Arial" w:hAnsi="Arial" w:cs="Arial"/>
          <w:szCs w:val="20"/>
        </w:rPr>
        <w:t xml:space="preserve">In TS 26.532 [6], </w:t>
      </w:r>
      <w:r w:rsidR="0087567B" w:rsidRPr="00F40CB3">
        <w:rPr>
          <w:rFonts w:ascii="Arial" w:hAnsi="Arial" w:cs="Arial"/>
          <w:szCs w:val="20"/>
        </w:rPr>
        <w:t>different data collection record types have been defined for the E</w:t>
      </w:r>
      <w:r w:rsidR="008C6F22">
        <w:rPr>
          <w:rFonts w:ascii="Arial" w:hAnsi="Arial" w:cs="Arial"/>
          <w:szCs w:val="20"/>
        </w:rPr>
        <w:t>V</w:t>
      </w:r>
      <w:r w:rsidR="0087567B" w:rsidRPr="00F40CB3">
        <w:rPr>
          <w:rFonts w:ascii="Arial" w:hAnsi="Arial" w:cs="Arial"/>
          <w:szCs w:val="20"/>
        </w:rPr>
        <w:t xml:space="preserve">EX framework. For example, </w:t>
      </w:r>
      <w:r w:rsidR="00AB6BB7" w:rsidRPr="00F40CB3">
        <w:rPr>
          <w:rFonts w:ascii="Arial" w:hAnsi="Arial" w:cs="Arial"/>
          <w:szCs w:val="20"/>
        </w:rPr>
        <w:t>A few</w:t>
      </w:r>
      <w:r w:rsidR="0087567B" w:rsidRPr="00F40CB3">
        <w:rPr>
          <w:rFonts w:ascii="Arial" w:hAnsi="Arial" w:cs="Arial"/>
          <w:szCs w:val="20"/>
        </w:rPr>
        <w:t xml:space="preserve"> of the data collection record type</w:t>
      </w:r>
      <w:r w:rsidR="00AB6BB7" w:rsidRPr="00F40CB3">
        <w:rPr>
          <w:rFonts w:ascii="Arial" w:hAnsi="Arial" w:cs="Arial"/>
          <w:szCs w:val="20"/>
        </w:rPr>
        <w:t>s</w:t>
      </w:r>
      <w:r w:rsidR="0087567B" w:rsidRPr="00F40CB3">
        <w:rPr>
          <w:rFonts w:ascii="Arial" w:hAnsi="Arial" w:cs="Arial"/>
          <w:szCs w:val="20"/>
        </w:rPr>
        <w:t xml:space="preserve"> (e.g., </w:t>
      </w:r>
      <w:proofErr w:type="spellStart"/>
      <w:r w:rsidR="0087567B" w:rsidRPr="00F40CB3">
        <w:rPr>
          <w:rFonts w:ascii="Arial" w:hAnsi="Arial" w:cs="Arial"/>
          <w:szCs w:val="20"/>
        </w:rPr>
        <w:t>ServiceExperienceRecord</w:t>
      </w:r>
      <w:proofErr w:type="spellEnd"/>
      <w:r w:rsidR="0087567B" w:rsidRPr="00F40CB3">
        <w:rPr>
          <w:rFonts w:ascii="Arial" w:hAnsi="Arial" w:cs="Arial"/>
          <w:szCs w:val="20"/>
        </w:rPr>
        <w:t xml:space="preserve">, </w:t>
      </w:r>
      <w:proofErr w:type="spellStart"/>
      <w:r w:rsidR="0087567B" w:rsidRPr="00F40CB3">
        <w:rPr>
          <w:rFonts w:ascii="Arial" w:hAnsi="Arial" w:cs="Arial"/>
          <w:szCs w:val="20"/>
        </w:rPr>
        <w:t>PerFlowServiceExperienceInfo</w:t>
      </w:r>
      <w:proofErr w:type="spellEnd"/>
      <w:r w:rsidR="0087567B" w:rsidRPr="00F40CB3">
        <w:rPr>
          <w:rFonts w:ascii="Arial" w:hAnsi="Arial" w:cs="Arial"/>
          <w:szCs w:val="20"/>
        </w:rPr>
        <w:t xml:space="preserve">, </w:t>
      </w:r>
      <w:proofErr w:type="spellStart"/>
      <w:r w:rsidR="0087567B" w:rsidRPr="00F40CB3">
        <w:rPr>
          <w:rFonts w:ascii="Arial" w:hAnsi="Arial" w:cs="Arial"/>
          <w:szCs w:val="20"/>
        </w:rPr>
        <w:t>LocationRecord</w:t>
      </w:r>
      <w:proofErr w:type="spellEnd"/>
      <w:r w:rsidR="0087567B" w:rsidRPr="00F40CB3">
        <w:rPr>
          <w:rFonts w:ascii="Arial" w:hAnsi="Arial" w:cs="Arial"/>
          <w:szCs w:val="20"/>
        </w:rPr>
        <w:t xml:space="preserve">, CommunicationRecord, </w:t>
      </w:r>
      <w:proofErr w:type="spellStart"/>
      <w:r w:rsidR="00AB6BB7" w:rsidRPr="00F40CB3">
        <w:rPr>
          <w:rFonts w:ascii="Arial" w:hAnsi="Arial" w:cs="Arial"/>
          <w:szCs w:val="20"/>
        </w:rPr>
        <w:t>PerformanceDataRecord</w:t>
      </w:r>
      <w:proofErr w:type="spellEnd"/>
      <w:r w:rsidR="00AB6BB7" w:rsidRPr="00F40CB3">
        <w:rPr>
          <w:rFonts w:ascii="Arial" w:hAnsi="Arial" w:cs="Arial"/>
          <w:szCs w:val="20"/>
        </w:rPr>
        <w:t>, etc.</w:t>
      </w:r>
      <w:r w:rsidR="0087567B" w:rsidRPr="00F40CB3">
        <w:rPr>
          <w:rFonts w:ascii="Arial" w:hAnsi="Arial" w:cs="Arial"/>
          <w:szCs w:val="20"/>
        </w:rPr>
        <w:t>)</w:t>
      </w:r>
      <w:r w:rsidR="00AB6BB7" w:rsidRPr="00F40CB3">
        <w:rPr>
          <w:rFonts w:ascii="Arial" w:hAnsi="Arial" w:cs="Arial"/>
          <w:szCs w:val="20"/>
        </w:rPr>
        <w:t xml:space="preserve"> are fully visible to the operator, and are standardized. </w:t>
      </w:r>
      <w:r w:rsidR="0090198C" w:rsidRPr="00F40CB3">
        <w:rPr>
          <w:rFonts w:ascii="Arial" w:hAnsi="Arial" w:cs="Arial"/>
          <w:szCs w:val="20"/>
        </w:rPr>
        <w:t>On the other hand,</w:t>
      </w:r>
      <w:r w:rsidR="00AB6BB7" w:rsidRPr="00F40CB3">
        <w:rPr>
          <w:rFonts w:ascii="Arial" w:hAnsi="Arial" w:cs="Arial"/>
          <w:szCs w:val="20"/>
        </w:rPr>
        <w:t xml:space="preserve"> a few data collection record types (e.g., </w:t>
      </w:r>
      <w:proofErr w:type="spellStart"/>
      <w:r w:rsidR="00AB6BB7" w:rsidRPr="00F40CB3">
        <w:rPr>
          <w:rFonts w:ascii="Arial" w:hAnsi="Arial" w:cs="Arial"/>
          <w:szCs w:val="20"/>
        </w:rPr>
        <w:t>ApplicationSpecificRecord</w:t>
      </w:r>
      <w:proofErr w:type="spellEnd"/>
      <w:r w:rsidR="00AB6BB7" w:rsidRPr="00F40CB3">
        <w:rPr>
          <w:rFonts w:ascii="Arial" w:hAnsi="Arial" w:cs="Arial"/>
          <w:szCs w:val="20"/>
        </w:rPr>
        <w:t xml:space="preserve">) are not visible to the operator and are not standardized. </w:t>
      </w:r>
    </w:p>
    <w:p w14:paraId="22FC6E50" w14:textId="77777777" w:rsidR="00AB6BB7" w:rsidRPr="00F40CB3" w:rsidRDefault="00AB6BB7" w:rsidP="002426BE">
      <w:pPr>
        <w:rPr>
          <w:rFonts w:ascii="Arial" w:hAnsi="Arial" w:cs="Arial"/>
          <w:szCs w:val="20"/>
        </w:rPr>
      </w:pPr>
    </w:p>
    <w:p w14:paraId="0972F654" w14:textId="7F01EED9" w:rsidR="00AB6BB7" w:rsidRPr="00F40CB3" w:rsidRDefault="0090198C" w:rsidP="002426BE">
      <w:pPr>
        <w:rPr>
          <w:rFonts w:ascii="Arial" w:hAnsi="Arial" w:cs="Arial"/>
          <w:b/>
          <w:bCs/>
          <w:szCs w:val="20"/>
        </w:rPr>
      </w:pPr>
      <w:r w:rsidRPr="00F40CB3">
        <w:rPr>
          <w:rFonts w:ascii="Arial" w:hAnsi="Arial" w:cs="Arial"/>
          <w:b/>
          <w:bCs/>
          <w:szCs w:val="20"/>
        </w:rPr>
        <w:t xml:space="preserve">Observation 5: Considering the EVEX as one of the examples for solution 1b), a few of the data collection record types (e.g., </w:t>
      </w:r>
      <w:proofErr w:type="spellStart"/>
      <w:r w:rsidRPr="00F40CB3">
        <w:rPr>
          <w:rFonts w:ascii="Arial" w:hAnsi="Arial" w:cs="Arial"/>
          <w:b/>
          <w:bCs/>
          <w:szCs w:val="20"/>
        </w:rPr>
        <w:t>ServiceExperienceRecord</w:t>
      </w:r>
      <w:proofErr w:type="spellEnd"/>
      <w:r w:rsidRPr="00F40CB3">
        <w:rPr>
          <w:rFonts w:ascii="Arial" w:hAnsi="Arial" w:cs="Arial"/>
          <w:b/>
          <w:bCs/>
          <w:szCs w:val="20"/>
        </w:rPr>
        <w:t xml:space="preserve">, </w:t>
      </w:r>
      <w:proofErr w:type="spellStart"/>
      <w:r w:rsidRPr="00F40CB3">
        <w:rPr>
          <w:rFonts w:ascii="Arial" w:hAnsi="Arial" w:cs="Arial"/>
          <w:b/>
          <w:bCs/>
          <w:szCs w:val="20"/>
        </w:rPr>
        <w:t>PerFlowServiceExperienceInfo</w:t>
      </w:r>
      <w:proofErr w:type="spellEnd"/>
      <w:r w:rsidRPr="00F40CB3">
        <w:rPr>
          <w:rFonts w:ascii="Arial" w:hAnsi="Arial" w:cs="Arial"/>
          <w:b/>
          <w:bCs/>
          <w:szCs w:val="20"/>
        </w:rPr>
        <w:t xml:space="preserve">, </w:t>
      </w:r>
      <w:proofErr w:type="spellStart"/>
      <w:r w:rsidRPr="00F40CB3">
        <w:rPr>
          <w:rFonts w:ascii="Arial" w:hAnsi="Arial" w:cs="Arial"/>
          <w:b/>
          <w:bCs/>
          <w:szCs w:val="20"/>
        </w:rPr>
        <w:t>LocationRecord</w:t>
      </w:r>
      <w:proofErr w:type="spellEnd"/>
      <w:r w:rsidRPr="00F40CB3">
        <w:rPr>
          <w:rFonts w:ascii="Arial" w:hAnsi="Arial" w:cs="Arial"/>
          <w:b/>
          <w:bCs/>
          <w:szCs w:val="20"/>
        </w:rPr>
        <w:t xml:space="preserve">, CommunicationRecord, </w:t>
      </w:r>
      <w:proofErr w:type="spellStart"/>
      <w:r w:rsidRPr="00F40CB3">
        <w:rPr>
          <w:rFonts w:ascii="Arial" w:hAnsi="Arial" w:cs="Arial"/>
          <w:b/>
          <w:bCs/>
          <w:szCs w:val="20"/>
        </w:rPr>
        <w:t>PerformanceDataRecord</w:t>
      </w:r>
      <w:proofErr w:type="spellEnd"/>
      <w:r w:rsidRPr="00F40CB3">
        <w:rPr>
          <w:rFonts w:ascii="Arial" w:hAnsi="Arial" w:cs="Arial"/>
          <w:b/>
          <w:bCs/>
          <w:szCs w:val="20"/>
        </w:rPr>
        <w:t>, etc.) are fully visible to the operator and are standardized.</w:t>
      </w:r>
    </w:p>
    <w:p w14:paraId="3AAB140B" w14:textId="77777777" w:rsidR="0090198C" w:rsidRPr="00F40CB3" w:rsidRDefault="0090198C" w:rsidP="002426BE">
      <w:pPr>
        <w:rPr>
          <w:rFonts w:ascii="Arial" w:hAnsi="Arial" w:cs="Arial"/>
          <w:b/>
          <w:bCs/>
          <w:szCs w:val="20"/>
        </w:rPr>
      </w:pPr>
    </w:p>
    <w:p w14:paraId="5EC3CD09" w14:textId="0CF5557B" w:rsidR="0090198C" w:rsidRPr="00F40CB3" w:rsidRDefault="0090198C" w:rsidP="002426BE">
      <w:pPr>
        <w:rPr>
          <w:rFonts w:ascii="Arial" w:hAnsi="Arial" w:cs="Arial"/>
          <w:b/>
          <w:bCs/>
          <w:szCs w:val="20"/>
        </w:rPr>
      </w:pPr>
      <w:r w:rsidRPr="00F40CB3">
        <w:rPr>
          <w:rFonts w:ascii="Arial" w:hAnsi="Arial" w:cs="Arial"/>
          <w:b/>
          <w:bCs/>
          <w:szCs w:val="20"/>
        </w:rPr>
        <w:t xml:space="preserve">Observation 6: Considering the EVEX as one of the examples for solution 1b), a few data collection record types (e.g., </w:t>
      </w:r>
      <w:proofErr w:type="spellStart"/>
      <w:r w:rsidRPr="00F40CB3">
        <w:rPr>
          <w:rFonts w:ascii="Arial" w:hAnsi="Arial" w:cs="Arial"/>
          <w:b/>
          <w:bCs/>
          <w:szCs w:val="20"/>
        </w:rPr>
        <w:t>ApplicationSpecificRecord</w:t>
      </w:r>
      <w:proofErr w:type="spellEnd"/>
      <w:r w:rsidRPr="00F40CB3">
        <w:rPr>
          <w:rFonts w:ascii="Arial" w:hAnsi="Arial" w:cs="Arial"/>
          <w:b/>
          <w:bCs/>
          <w:szCs w:val="20"/>
        </w:rPr>
        <w:t xml:space="preserve">) are not visible to the operator and are not standardized. </w:t>
      </w:r>
    </w:p>
    <w:p w14:paraId="4EDFCA43" w14:textId="77777777" w:rsidR="0090198C" w:rsidRPr="00F40CB3" w:rsidRDefault="0090198C" w:rsidP="002426BE">
      <w:pPr>
        <w:rPr>
          <w:rFonts w:ascii="Arial" w:hAnsi="Arial" w:cs="Arial"/>
          <w:b/>
          <w:bCs/>
          <w:szCs w:val="20"/>
        </w:rPr>
      </w:pPr>
    </w:p>
    <w:p w14:paraId="3222DAC2" w14:textId="6D214636" w:rsidR="0090198C" w:rsidRPr="00F40CB3" w:rsidRDefault="0090198C" w:rsidP="002426BE">
      <w:pPr>
        <w:rPr>
          <w:rFonts w:ascii="Arial" w:hAnsi="Arial" w:cs="Arial"/>
          <w:b/>
          <w:bCs/>
          <w:szCs w:val="20"/>
        </w:rPr>
      </w:pPr>
      <w:r w:rsidRPr="00F40CB3">
        <w:rPr>
          <w:rFonts w:ascii="Arial" w:hAnsi="Arial" w:cs="Arial"/>
          <w:b/>
          <w:bCs/>
          <w:szCs w:val="20"/>
        </w:rPr>
        <w:t xml:space="preserve">Proposal 2: </w:t>
      </w:r>
      <w:r w:rsidR="000052AC">
        <w:rPr>
          <w:rFonts w:ascii="Arial" w:hAnsi="Arial" w:cs="Arial"/>
          <w:b/>
          <w:bCs/>
          <w:szCs w:val="20"/>
        </w:rPr>
        <w:t>In solution 1b, t</w:t>
      </w:r>
      <w:r w:rsidRPr="00F40CB3">
        <w:rPr>
          <w:rFonts w:ascii="Arial" w:hAnsi="Arial" w:cs="Arial"/>
          <w:b/>
          <w:bCs/>
          <w:szCs w:val="20"/>
        </w:rPr>
        <w:t>he MNO can have ‘</w:t>
      </w:r>
      <w:r w:rsidR="00B7097E">
        <w:rPr>
          <w:rFonts w:ascii="Arial" w:hAnsi="Arial" w:cs="Arial"/>
          <w:b/>
          <w:bCs/>
          <w:szCs w:val="20"/>
        </w:rPr>
        <w:t>Full</w:t>
      </w:r>
      <w:r w:rsidRPr="00F40CB3">
        <w:rPr>
          <w:rFonts w:ascii="Arial" w:hAnsi="Arial" w:cs="Arial"/>
          <w:b/>
          <w:bCs/>
          <w:szCs w:val="20"/>
        </w:rPr>
        <w:t xml:space="preserve"> Visibility’, ‘Partial Visibility’, or ‘</w:t>
      </w:r>
      <w:r w:rsidR="00B7097E">
        <w:rPr>
          <w:rFonts w:ascii="Arial" w:hAnsi="Arial" w:cs="Arial"/>
          <w:b/>
          <w:bCs/>
          <w:szCs w:val="20"/>
        </w:rPr>
        <w:t>No</w:t>
      </w:r>
      <w:r w:rsidRPr="00F40CB3">
        <w:rPr>
          <w:rFonts w:ascii="Arial" w:hAnsi="Arial" w:cs="Arial"/>
          <w:b/>
          <w:bCs/>
          <w:szCs w:val="20"/>
        </w:rPr>
        <w:t xml:space="preserve"> Visibility’ depending on data collection record types. </w:t>
      </w:r>
    </w:p>
    <w:p w14:paraId="0FBFE3A9" w14:textId="77777777" w:rsidR="0090198C" w:rsidRPr="00F40CB3" w:rsidRDefault="0090198C" w:rsidP="002426BE">
      <w:pPr>
        <w:rPr>
          <w:rFonts w:ascii="Arial" w:hAnsi="Arial" w:cs="Arial"/>
          <w:b/>
          <w:bCs/>
          <w:szCs w:val="20"/>
        </w:rPr>
      </w:pPr>
    </w:p>
    <w:p w14:paraId="7AC0D6B7" w14:textId="2A8EAA38" w:rsidR="00F40CB3" w:rsidRPr="00F40CB3" w:rsidRDefault="0090198C" w:rsidP="002426BE">
      <w:pPr>
        <w:rPr>
          <w:rFonts w:ascii="Arial" w:hAnsi="Arial" w:cs="Arial"/>
          <w:b/>
          <w:bCs/>
          <w:szCs w:val="20"/>
        </w:rPr>
      </w:pPr>
      <w:r w:rsidRPr="00F40CB3">
        <w:rPr>
          <w:rFonts w:ascii="Arial" w:hAnsi="Arial" w:cs="Arial"/>
          <w:b/>
          <w:bCs/>
          <w:szCs w:val="20"/>
        </w:rPr>
        <w:t xml:space="preserve">Proposal 3: The data collection solution 1b) </w:t>
      </w:r>
      <w:r w:rsidR="00F40CB3" w:rsidRPr="00F40CB3">
        <w:rPr>
          <w:rFonts w:ascii="Arial" w:hAnsi="Arial" w:cs="Arial"/>
          <w:b/>
          <w:bCs/>
          <w:szCs w:val="20"/>
        </w:rPr>
        <w:t xml:space="preserve">may </w:t>
      </w:r>
      <w:r w:rsidR="00947E81">
        <w:rPr>
          <w:rFonts w:ascii="Arial" w:hAnsi="Arial" w:cs="Arial"/>
          <w:b/>
          <w:bCs/>
          <w:szCs w:val="20"/>
        </w:rPr>
        <w:t>result in standard defined and non-standard defined data collection record</w:t>
      </w:r>
      <w:r w:rsidR="00F20738">
        <w:rPr>
          <w:rFonts w:ascii="Arial" w:hAnsi="Arial" w:cs="Arial"/>
          <w:b/>
          <w:bCs/>
          <w:szCs w:val="20"/>
        </w:rPr>
        <w:t xml:space="preserve"> types</w:t>
      </w:r>
      <w:r w:rsidR="00947E81">
        <w:rPr>
          <w:rFonts w:ascii="Arial" w:hAnsi="Arial" w:cs="Arial"/>
          <w:b/>
          <w:bCs/>
          <w:szCs w:val="20"/>
        </w:rPr>
        <w:t>.</w:t>
      </w:r>
    </w:p>
    <w:bookmarkEnd w:id="3"/>
    <w:bookmarkEnd w:id="4"/>
    <w:p w14:paraId="5C1D755D" w14:textId="76D6169B" w:rsidR="5D55723A" w:rsidRPr="00141E1D" w:rsidRDefault="5D55723A" w:rsidP="1890F92E">
      <w:pPr>
        <w:pStyle w:val="Heading1"/>
        <w:keepLines/>
        <w:numPr>
          <w:ilvl w:val="0"/>
          <w:numId w:val="6"/>
        </w:numPr>
        <w:pBdr>
          <w:top w:val="single" w:sz="12" w:space="3" w:color="auto"/>
        </w:pBdr>
        <w:tabs>
          <w:tab w:val="left" w:pos="425"/>
          <w:tab w:val="left" w:pos="567"/>
        </w:tabs>
        <w:spacing w:before="240" w:after="180"/>
      </w:pPr>
      <w:r w:rsidRPr="00141E1D">
        <w:rPr>
          <w:b w:val="0"/>
          <w:bCs w:val="0"/>
        </w:rPr>
        <w:t>Conclusion</w:t>
      </w:r>
    </w:p>
    <w:p w14:paraId="65925692" w14:textId="77777777" w:rsidR="00F40CB3" w:rsidRPr="002F75A8" w:rsidRDefault="00F40CB3" w:rsidP="00F40CB3">
      <w:pPr>
        <w:rPr>
          <w:rFonts w:ascii="Arial" w:hAnsi="Arial" w:cs="Arial"/>
          <w:szCs w:val="20"/>
        </w:rPr>
      </w:pPr>
      <w:r w:rsidRPr="002F75A8">
        <w:rPr>
          <w:rFonts w:ascii="Arial" w:hAnsi="Arial" w:cs="Arial"/>
          <w:szCs w:val="20"/>
        </w:rPr>
        <w:t xml:space="preserve">Observation 1: Considering the EVEX as an example of solution 1b), the provisioning information </w:t>
      </w:r>
      <w:proofErr w:type="gramStart"/>
      <w:r w:rsidRPr="002F75A8">
        <w:rPr>
          <w:rFonts w:ascii="Arial" w:hAnsi="Arial" w:cs="Arial"/>
          <w:szCs w:val="20"/>
        </w:rPr>
        <w:t>specifies</w:t>
      </w:r>
      <w:proofErr w:type="gramEnd"/>
      <w:r w:rsidRPr="002F75A8">
        <w:rPr>
          <w:rFonts w:ascii="Arial" w:hAnsi="Arial" w:cs="Arial"/>
          <w:szCs w:val="20"/>
        </w:rPr>
        <w:t xml:space="preserve"> </w:t>
      </w:r>
    </w:p>
    <w:p w14:paraId="3A100850" w14:textId="77777777" w:rsidR="00F40CB3" w:rsidRPr="002F75A8" w:rsidRDefault="00F40CB3" w:rsidP="00F40CB3">
      <w:pPr>
        <w:pStyle w:val="ListParagraph"/>
        <w:numPr>
          <w:ilvl w:val="0"/>
          <w:numId w:val="23"/>
        </w:numPr>
        <w:rPr>
          <w:rFonts w:ascii="Arial" w:hAnsi="Arial" w:cs="Arial"/>
          <w:szCs w:val="20"/>
        </w:rPr>
      </w:pPr>
      <w:r w:rsidRPr="002F75A8">
        <w:rPr>
          <w:rFonts w:ascii="Arial" w:hAnsi="Arial" w:cs="Arial"/>
          <w:szCs w:val="20"/>
        </w:rPr>
        <w:t xml:space="preserve">What data is to be collected, </w:t>
      </w:r>
    </w:p>
    <w:p w14:paraId="141BC6C6" w14:textId="77777777" w:rsidR="00F40CB3" w:rsidRPr="002F75A8" w:rsidRDefault="00F40CB3" w:rsidP="00F40CB3">
      <w:pPr>
        <w:pStyle w:val="ListParagraph"/>
        <w:numPr>
          <w:ilvl w:val="0"/>
          <w:numId w:val="23"/>
        </w:numPr>
        <w:rPr>
          <w:rFonts w:ascii="Arial" w:hAnsi="Arial" w:cs="Arial"/>
          <w:szCs w:val="20"/>
        </w:rPr>
      </w:pPr>
      <w:r w:rsidRPr="002F75A8">
        <w:rPr>
          <w:rFonts w:ascii="Arial" w:hAnsi="Arial" w:cs="Arial"/>
          <w:szCs w:val="20"/>
        </w:rPr>
        <w:t>How that data is to be sampled by data collection clients (e.g., sampling frequency, location filter),</w:t>
      </w:r>
    </w:p>
    <w:p w14:paraId="08A54804" w14:textId="77777777" w:rsidR="00F40CB3" w:rsidRPr="002F75A8" w:rsidRDefault="00F40CB3" w:rsidP="00F40CB3">
      <w:pPr>
        <w:pStyle w:val="ListParagraph"/>
        <w:numPr>
          <w:ilvl w:val="0"/>
          <w:numId w:val="23"/>
        </w:numPr>
        <w:rPr>
          <w:rFonts w:ascii="Arial" w:hAnsi="Arial" w:cs="Arial"/>
          <w:szCs w:val="20"/>
        </w:rPr>
      </w:pPr>
      <w:r w:rsidRPr="002F75A8">
        <w:rPr>
          <w:rFonts w:ascii="Arial" w:hAnsi="Arial" w:cs="Arial"/>
          <w:szCs w:val="20"/>
        </w:rPr>
        <w:t xml:space="preserve">How the collected data is to be reported (e.g., reporting probability, reporting frequency, reporting format, data packaging strategy), </w:t>
      </w:r>
    </w:p>
    <w:p w14:paraId="47C869C4" w14:textId="77777777" w:rsidR="00F40CB3" w:rsidRPr="002F75A8" w:rsidRDefault="00F40CB3" w:rsidP="00F40CB3">
      <w:pPr>
        <w:pStyle w:val="ListParagraph"/>
        <w:numPr>
          <w:ilvl w:val="0"/>
          <w:numId w:val="23"/>
        </w:numPr>
        <w:rPr>
          <w:rFonts w:ascii="Arial" w:hAnsi="Arial" w:cs="Arial"/>
          <w:szCs w:val="20"/>
        </w:rPr>
      </w:pPr>
      <w:r w:rsidRPr="002F75A8">
        <w:rPr>
          <w:rFonts w:ascii="Arial" w:hAnsi="Arial" w:cs="Arial"/>
          <w:szCs w:val="20"/>
        </w:rPr>
        <w:t xml:space="preserve">How provisioning information is to be processed by the Data Collection AF, and </w:t>
      </w:r>
    </w:p>
    <w:p w14:paraId="6E8E5366" w14:textId="77777777" w:rsidR="00F40CB3" w:rsidRPr="002F75A8" w:rsidRDefault="00F40CB3" w:rsidP="00F40CB3">
      <w:pPr>
        <w:pStyle w:val="ListParagraph"/>
        <w:numPr>
          <w:ilvl w:val="0"/>
          <w:numId w:val="23"/>
        </w:numPr>
        <w:rPr>
          <w:rFonts w:ascii="Arial" w:hAnsi="Arial" w:cs="Arial"/>
          <w:szCs w:val="20"/>
        </w:rPr>
      </w:pPr>
      <w:r w:rsidRPr="002F75A8">
        <w:rPr>
          <w:rFonts w:ascii="Arial" w:hAnsi="Arial" w:cs="Arial"/>
          <w:szCs w:val="20"/>
        </w:rPr>
        <w:t xml:space="preserve">How provisioning information is to be exposed to event notification </w:t>
      </w:r>
      <w:proofErr w:type="gramStart"/>
      <w:r w:rsidRPr="002F75A8">
        <w:rPr>
          <w:rFonts w:ascii="Arial" w:hAnsi="Arial" w:cs="Arial"/>
          <w:szCs w:val="20"/>
        </w:rPr>
        <w:t>subscribers</w:t>
      </w:r>
      <w:proofErr w:type="gramEnd"/>
    </w:p>
    <w:p w14:paraId="63763D9E" w14:textId="6DF4DC8B" w:rsidR="00F74AA4" w:rsidRPr="002F75A8" w:rsidRDefault="00F74AA4" w:rsidP="00F74AA4">
      <w:pPr>
        <w:rPr>
          <w:rFonts w:ascii="Arial" w:hAnsi="Arial" w:cs="Arial"/>
          <w:szCs w:val="20"/>
        </w:rPr>
      </w:pPr>
    </w:p>
    <w:p w14:paraId="4C0E0C6E" w14:textId="77777777" w:rsidR="00F40CB3" w:rsidRPr="002F75A8" w:rsidRDefault="00F40CB3" w:rsidP="00F40CB3">
      <w:pPr>
        <w:rPr>
          <w:rFonts w:ascii="Arial" w:hAnsi="Arial" w:cs="Arial"/>
          <w:szCs w:val="20"/>
        </w:rPr>
      </w:pPr>
      <w:r w:rsidRPr="002F75A8">
        <w:rPr>
          <w:rFonts w:ascii="Arial" w:hAnsi="Arial" w:cs="Arial"/>
          <w:szCs w:val="20"/>
        </w:rPr>
        <w:t>Observation 2: Considering the EVEX as an example of solution 1b), the provisioning information is based on the Service Level Agreement between the network operator and the Application Service Provider.</w:t>
      </w:r>
    </w:p>
    <w:p w14:paraId="7530C609" w14:textId="77777777" w:rsidR="00F40CB3" w:rsidRPr="002F75A8" w:rsidRDefault="00F40CB3" w:rsidP="00F74AA4">
      <w:pPr>
        <w:rPr>
          <w:rFonts w:ascii="Arial" w:hAnsi="Arial" w:cs="Arial"/>
          <w:szCs w:val="20"/>
        </w:rPr>
      </w:pPr>
    </w:p>
    <w:p w14:paraId="703A6565" w14:textId="77777777" w:rsidR="00F40CB3" w:rsidRPr="002F75A8" w:rsidRDefault="00F40CB3" w:rsidP="00F40CB3">
      <w:pPr>
        <w:rPr>
          <w:rFonts w:ascii="Arial" w:hAnsi="Arial" w:cs="Arial"/>
          <w:szCs w:val="20"/>
        </w:rPr>
      </w:pPr>
      <w:r w:rsidRPr="002F75A8">
        <w:rPr>
          <w:rFonts w:ascii="Arial" w:hAnsi="Arial" w:cs="Arial"/>
          <w:szCs w:val="20"/>
        </w:rPr>
        <w:t xml:space="preserve">Observation 3: Considering the EVEX as one of the examples for solution 1b), the 5G system (MNO) has full control over the UE data domain owned by the 5G system. </w:t>
      </w:r>
    </w:p>
    <w:p w14:paraId="17635EEB" w14:textId="77777777" w:rsidR="00F40CB3" w:rsidRPr="002F75A8" w:rsidRDefault="00F40CB3" w:rsidP="00F40CB3">
      <w:pPr>
        <w:rPr>
          <w:rFonts w:ascii="Arial" w:hAnsi="Arial" w:cs="Arial"/>
          <w:szCs w:val="20"/>
        </w:rPr>
      </w:pPr>
    </w:p>
    <w:p w14:paraId="5A3D0EE6" w14:textId="77777777" w:rsidR="00F40CB3" w:rsidRPr="002F75A8" w:rsidRDefault="00F40CB3" w:rsidP="00F40CB3">
      <w:pPr>
        <w:rPr>
          <w:rFonts w:ascii="Arial" w:hAnsi="Arial" w:cs="Arial"/>
          <w:szCs w:val="20"/>
        </w:rPr>
      </w:pPr>
      <w:r w:rsidRPr="002F75A8">
        <w:rPr>
          <w:rFonts w:ascii="Arial" w:hAnsi="Arial" w:cs="Arial"/>
          <w:szCs w:val="20"/>
        </w:rPr>
        <w:t xml:space="preserve">Observation 4: Considering the EVEX as one of the examples for solution 1b), the 5G system (MNO) has partial control over the UE data domain owned by the ASP. </w:t>
      </w:r>
    </w:p>
    <w:p w14:paraId="737169DD" w14:textId="77777777" w:rsidR="00F40CB3" w:rsidRPr="00F40CB3" w:rsidRDefault="00F40CB3" w:rsidP="00F40CB3">
      <w:pPr>
        <w:rPr>
          <w:rFonts w:ascii="Arial" w:hAnsi="Arial" w:cs="Arial"/>
          <w:b/>
          <w:bCs/>
          <w:szCs w:val="20"/>
        </w:rPr>
      </w:pPr>
    </w:p>
    <w:p w14:paraId="60F73B18" w14:textId="77777777" w:rsidR="00F40CB3" w:rsidRPr="00F40CB3" w:rsidRDefault="00F40CB3" w:rsidP="00F40CB3">
      <w:pPr>
        <w:rPr>
          <w:rFonts w:ascii="Arial" w:hAnsi="Arial" w:cs="Arial"/>
          <w:b/>
          <w:bCs/>
          <w:szCs w:val="20"/>
        </w:rPr>
      </w:pPr>
      <w:r w:rsidRPr="00F40CB3">
        <w:rPr>
          <w:rFonts w:ascii="Arial" w:hAnsi="Arial" w:cs="Arial"/>
          <w:b/>
          <w:bCs/>
          <w:szCs w:val="20"/>
        </w:rPr>
        <w:t xml:space="preserve">Proposal 1: The MNO can have both full and partial control in solution 1b) </w:t>
      </w:r>
      <w:proofErr w:type="gramStart"/>
      <w:r w:rsidRPr="00F40CB3">
        <w:rPr>
          <w:rFonts w:ascii="Arial" w:hAnsi="Arial" w:cs="Arial"/>
          <w:b/>
          <w:bCs/>
          <w:szCs w:val="20"/>
        </w:rPr>
        <w:t>simultaneously</w:t>
      </w:r>
      <w:proofErr w:type="gramEnd"/>
      <w:r w:rsidRPr="00F40CB3">
        <w:rPr>
          <w:rFonts w:ascii="Arial" w:hAnsi="Arial" w:cs="Arial"/>
          <w:b/>
          <w:bCs/>
          <w:szCs w:val="20"/>
        </w:rPr>
        <w:t xml:space="preserve"> </w:t>
      </w:r>
    </w:p>
    <w:p w14:paraId="07A2F2A5" w14:textId="77777777" w:rsidR="00F40CB3" w:rsidRPr="00F40CB3" w:rsidRDefault="00F40CB3" w:rsidP="00F40CB3">
      <w:pPr>
        <w:pStyle w:val="ListParagraph"/>
        <w:numPr>
          <w:ilvl w:val="0"/>
          <w:numId w:val="23"/>
        </w:numPr>
        <w:rPr>
          <w:rFonts w:ascii="Arial" w:hAnsi="Arial" w:cs="Arial"/>
          <w:b/>
          <w:bCs/>
          <w:szCs w:val="20"/>
        </w:rPr>
      </w:pPr>
      <w:r w:rsidRPr="00F40CB3">
        <w:rPr>
          <w:rFonts w:ascii="Arial" w:hAnsi="Arial" w:cs="Arial"/>
          <w:b/>
          <w:bCs/>
          <w:szCs w:val="20"/>
        </w:rPr>
        <w:t xml:space="preserve">Full control over data domain owned by 5G system (MNO), and </w:t>
      </w:r>
    </w:p>
    <w:p w14:paraId="11435F23" w14:textId="77777777" w:rsidR="00F40CB3" w:rsidRPr="00F40CB3" w:rsidRDefault="00F40CB3" w:rsidP="00F40CB3">
      <w:pPr>
        <w:pStyle w:val="ListParagraph"/>
        <w:numPr>
          <w:ilvl w:val="0"/>
          <w:numId w:val="23"/>
        </w:numPr>
        <w:rPr>
          <w:rFonts w:ascii="Arial" w:hAnsi="Arial" w:cs="Arial"/>
          <w:b/>
          <w:bCs/>
          <w:szCs w:val="20"/>
        </w:rPr>
      </w:pPr>
      <w:r w:rsidRPr="00F40CB3">
        <w:rPr>
          <w:rFonts w:ascii="Arial" w:hAnsi="Arial" w:cs="Arial"/>
          <w:b/>
          <w:bCs/>
          <w:szCs w:val="20"/>
        </w:rPr>
        <w:t>Partial control over data domain owned by the UE vendors.</w:t>
      </w:r>
    </w:p>
    <w:p w14:paraId="5AE7450A" w14:textId="77777777" w:rsidR="00F40CB3" w:rsidRPr="00F40CB3" w:rsidRDefault="00F40CB3" w:rsidP="00F74AA4">
      <w:pPr>
        <w:rPr>
          <w:rFonts w:ascii="Arial" w:hAnsi="Arial" w:cs="Arial"/>
          <w:szCs w:val="20"/>
        </w:rPr>
      </w:pPr>
    </w:p>
    <w:p w14:paraId="0DAC8506" w14:textId="77777777" w:rsidR="00F40CB3" w:rsidRPr="002F75A8" w:rsidRDefault="00F40CB3" w:rsidP="00F40CB3">
      <w:pPr>
        <w:rPr>
          <w:rFonts w:ascii="Arial" w:hAnsi="Arial" w:cs="Arial"/>
          <w:szCs w:val="20"/>
        </w:rPr>
      </w:pPr>
      <w:r w:rsidRPr="002F75A8">
        <w:rPr>
          <w:rFonts w:ascii="Arial" w:hAnsi="Arial" w:cs="Arial"/>
          <w:szCs w:val="20"/>
        </w:rPr>
        <w:t xml:space="preserve">Observation 5: Considering the EVEX as one of the examples for solution 1b), a few of the data collection record types (e.g., </w:t>
      </w:r>
      <w:proofErr w:type="spellStart"/>
      <w:r w:rsidRPr="002F75A8">
        <w:rPr>
          <w:rFonts w:ascii="Arial" w:hAnsi="Arial" w:cs="Arial"/>
          <w:szCs w:val="20"/>
        </w:rPr>
        <w:t>ServiceExperienceRecord</w:t>
      </w:r>
      <w:proofErr w:type="spellEnd"/>
      <w:r w:rsidRPr="002F75A8">
        <w:rPr>
          <w:rFonts w:ascii="Arial" w:hAnsi="Arial" w:cs="Arial"/>
          <w:szCs w:val="20"/>
        </w:rPr>
        <w:t xml:space="preserve">, </w:t>
      </w:r>
      <w:proofErr w:type="spellStart"/>
      <w:r w:rsidRPr="002F75A8">
        <w:rPr>
          <w:rFonts w:ascii="Arial" w:hAnsi="Arial" w:cs="Arial"/>
          <w:szCs w:val="20"/>
        </w:rPr>
        <w:t>PerFlowServiceExperienceInfo</w:t>
      </w:r>
      <w:proofErr w:type="spellEnd"/>
      <w:r w:rsidRPr="002F75A8">
        <w:rPr>
          <w:rFonts w:ascii="Arial" w:hAnsi="Arial" w:cs="Arial"/>
          <w:szCs w:val="20"/>
        </w:rPr>
        <w:t xml:space="preserve">, </w:t>
      </w:r>
      <w:proofErr w:type="spellStart"/>
      <w:r w:rsidRPr="002F75A8">
        <w:rPr>
          <w:rFonts w:ascii="Arial" w:hAnsi="Arial" w:cs="Arial"/>
          <w:szCs w:val="20"/>
        </w:rPr>
        <w:t>LocationRecord</w:t>
      </w:r>
      <w:proofErr w:type="spellEnd"/>
      <w:r w:rsidRPr="002F75A8">
        <w:rPr>
          <w:rFonts w:ascii="Arial" w:hAnsi="Arial" w:cs="Arial"/>
          <w:szCs w:val="20"/>
        </w:rPr>
        <w:t xml:space="preserve">, CommunicationRecord, </w:t>
      </w:r>
      <w:proofErr w:type="spellStart"/>
      <w:r w:rsidRPr="002F75A8">
        <w:rPr>
          <w:rFonts w:ascii="Arial" w:hAnsi="Arial" w:cs="Arial"/>
          <w:szCs w:val="20"/>
        </w:rPr>
        <w:t>PerformanceDataRecord</w:t>
      </w:r>
      <w:proofErr w:type="spellEnd"/>
      <w:r w:rsidRPr="002F75A8">
        <w:rPr>
          <w:rFonts w:ascii="Arial" w:hAnsi="Arial" w:cs="Arial"/>
          <w:szCs w:val="20"/>
        </w:rPr>
        <w:t>, etc.) are fully visible to the operator and are standardized.</w:t>
      </w:r>
    </w:p>
    <w:p w14:paraId="2E77E437" w14:textId="77777777" w:rsidR="00F40CB3" w:rsidRPr="002F75A8" w:rsidRDefault="00F40CB3" w:rsidP="00F40CB3">
      <w:pPr>
        <w:rPr>
          <w:rFonts w:ascii="Arial" w:hAnsi="Arial" w:cs="Arial"/>
          <w:szCs w:val="20"/>
        </w:rPr>
      </w:pPr>
    </w:p>
    <w:p w14:paraId="487ACBD3" w14:textId="77777777" w:rsidR="00F40CB3" w:rsidRPr="002F75A8" w:rsidRDefault="00F40CB3" w:rsidP="00F40CB3">
      <w:pPr>
        <w:rPr>
          <w:rFonts w:ascii="Arial" w:hAnsi="Arial" w:cs="Arial"/>
          <w:szCs w:val="20"/>
        </w:rPr>
      </w:pPr>
      <w:r w:rsidRPr="002F75A8">
        <w:rPr>
          <w:rFonts w:ascii="Arial" w:hAnsi="Arial" w:cs="Arial"/>
          <w:szCs w:val="20"/>
        </w:rPr>
        <w:t xml:space="preserve">Observation 6: Considering the EVEX as one of the examples for solution 1b), a few data collection record types (e.g., </w:t>
      </w:r>
      <w:proofErr w:type="spellStart"/>
      <w:r w:rsidRPr="002F75A8">
        <w:rPr>
          <w:rFonts w:ascii="Arial" w:hAnsi="Arial" w:cs="Arial"/>
          <w:szCs w:val="20"/>
        </w:rPr>
        <w:t>ApplicationSpecificRecord</w:t>
      </w:r>
      <w:proofErr w:type="spellEnd"/>
      <w:r w:rsidRPr="002F75A8">
        <w:rPr>
          <w:rFonts w:ascii="Arial" w:hAnsi="Arial" w:cs="Arial"/>
          <w:szCs w:val="20"/>
        </w:rPr>
        <w:t xml:space="preserve">) are not visible to the operator and are not standardized. </w:t>
      </w:r>
    </w:p>
    <w:p w14:paraId="7CF3DCDF" w14:textId="77777777" w:rsidR="002F75A8" w:rsidRPr="00F40CB3" w:rsidRDefault="002F75A8" w:rsidP="00F40CB3">
      <w:pPr>
        <w:rPr>
          <w:rFonts w:ascii="Arial" w:hAnsi="Arial" w:cs="Arial"/>
          <w:b/>
          <w:bCs/>
          <w:szCs w:val="20"/>
        </w:rPr>
      </w:pPr>
    </w:p>
    <w:p w14:paraId="5CA91DAD" w14:textId="77777777" w:rsidR="00F20738" w:rsidRPr="00F40CB3" w:rsidRDefault="00F20738" w:rsidP="00F20738">
      <w:pPr>
        <w:rPr>
          <w:rFonts w:ascii="Arial" w:hAnsi="Arial" w:cs="Arial"/>
          <w:b/>
          <w:bCs/>
          <w:szCs w:val="20"/>
        </w:rPr>
      </w:pPr>
      <w:r w:rsidRPr="00F40CB3">
        <w:rPr>
          <w:rFonts w:ascii="Arial" w:hAnsi="Arial" w:cs="Arial"/>
          <w:b/>
          <w:bCs/>
          <w:szCs w:val="20"/>
        </w:rPr>
        <w:t xml:space="preserve">Proposal 2: </w:t>
      </w:r>
      <w:r>
        <w:rPr>
          <w:rFonts w:ascii="Arial" w:hAnsi="Arial" w:cs="Arial"/>
          <w:b/>
          <w:bCs/>
          <w:szCs w:val="20"/>
        </w:rPr>
        <w:t>In solution 1b, t</w:t>
      </w:r>
      <w:r w:rsidRPr="00F40CB3">
        <w:rPr>
          <w:rFonts w:ascii="Arial" w:hAnsi="Arial" w:cs="Arial"/>
          <w:b/>
          <w:bCs/>
          <w:szCs w:val="20"/>
        </w:rPr>
        <w:t>he MNO can have ‘</w:t>
      </w:r>
      <w:r>
        <w:rPr>
          <w:rFonts w:ascii="Arial" w:hAnsi="Arial" w:cs="Arial"/>
          <w:b/>
          <w:bCs/>
          <w:szCs w:val="20"/>
        </w:rPr>
        <w:t>Full</w:t>
      </w:r>
      <w:r w:rsidRPr="00F40CB3">
        <w:rPr>
          <w:rFonts w:ascii="Arial" w:hAnsi="Arial" w:cs="Arial"/>
          <w:b/>
          <w:bCs/>
          <w:szCs w:val="20"/>
        </w:rPr>
        <w:t xml:space="preserve"> Visibility’, ‘Partial Visibility’, or ‘</w:t>
      </w:r>
      <w:r>
        <w:rPr>
          <w:rFonts w:ascii="Arial" w:hAnsi="Arial" w:cs="Arial"/>
          <w:b/>
          <w:bCs/>
          <w:szCs w:val="20"/>
        </w:rPr>
        <w:t>No</w:t>
      </w:r>
      <w:r w:rsidRPr="00F40CB3">
        <w:rPr>
          <w:rFonts w:ascii="Arial" w:hAnsi="Arial" w:cs="Arial"/>
          <w:b/>
          <w:bCs/>
          <w:szCs w:val="20"/>
        </w:rPr>
        <w:t xml:space="preserve"> Visibility’ depending on data collection record types. </w:t>
      </w:r>
    </w:p>
    <w:p w14:paraId="5EE45A06" w14:textId="77777777" w:rsidR="00F20738" w:rsidRPr="00F40CB3" w:rsidRDefault="00F20738" w:rsidP="00F20738">
      <w:pPr>
        <w:rPr>
          <w:rFonts w:ascii="Arial" w:hAnsi="Arial" w:cs="Arial"/>
          <w:b/>
          <w:bCs/>
          <w:szCs w:val="20"/>
        </w:rPr>
      </w:pPr>
    </w:p>
    <w:p w14:paraId="29EA402F" w14:textId="36F5A22A" w:rsidR="00F40CB3" w:rsidRPr="00F40CB3" w:rsidRDefault="00F20738" w:rsidP="00F40CB3">
      <w:pPr>
        <w:rPr>
          <w:rFonts w:ascii="Arial" w:hAnsi="Arial" w:cs="Arial"/>
          <w:b/>
          <w:bCs/>
          <w:szCs w:val="20"/>
        </w:rPr>
      </w:pPr>
      <w:r w:rsidRPr="00F40CB3">
        <w:rPr>
          <w:rFonts w:ascii="Arial" w:hAnsi="Arial" w:cs="Arial"/>
          <w:b/>
          <w:bCs/>
          <w:szCs w:val="20"/>
        </w:rPr>
        <w:t xml:space="preserve">Proposal 3: The data collection solution 1b) may </w:t>
      </w:r>
      <w:r>
        <w:rPr>
          <w:rFonts w:ascii="Arial" w:hAnsi="Arial" w:cs="Arial"/>
          <w:b/>
          <w:bCs/>
          <w:szCs w:val="20"/>
        </w:rPr>
        <w:t>result in standard defined and non-standard defined data collection record types.</w:t>
      </w:r>
    </w:p>
    <w:p w14:paraId="4643E75A" w14:textId="4FDD5E21" w:rsidR="00C47139" w:rsidRPr="00141E1D" w:rsidRDefault="70050344"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141E1D">
        <w:rPr>
          <w:b w:val="0"/>
          <w:bCs w:val="0"/>
        </w:rPr>
        <w:t>References</w:t>
      </w:r>
    </w:p>
    <w:p w14:paraId="422E03FC" w14:textId="77777777" w:rsidR="00F24A0F" w:rsidRPr="00141E1D" w:rsidRDefault="002F75A8" w:rsidP="00BE548B">
      <w:pPr>
        <w:pStyle w:val="ListParagraph"/>
        <w:numPr>
          <w:ilvl w:val="0"/>
          <w:numId w:val="8"/>
        </w:numPr>
        <w:spacing w:after="60"/>
        <w:rPr>
          <w:rFonts w:ascii="Arial" w:hAnsi="Arial" w:cs="Arial"/>
          <w:szCs w:val="20"/>
        </w:rPr>
      </w:pPr>
      <w:hyperlink r:id="rId11" w:history="1">
        <w:r w:rsidR="00F24A0F" w:rsidRPr="00141E1D">
          <w:rPr>
            <w:rStyle w:val="Hyperlink"/>
            <w:rFonts w:ascii="Arial" w:hAnsi="Arial" w:cs="Arial"/>
            <w:szCs w:val="20"/>
          </w:rPr>
          <w:t>RP-213599</w:t>
        </w:r>
      </w:hyperlink>
      <w:r w:rsidR="00F24A0F" w:rsidRPr="00141E1D">
        <w:rPr>
          <w:rFonts w:ascii="Arial" w:hAnsi="Arial" w:cs="Arial"/>
          <w:szCs w:val="20"/>
        </w:rPr>
        <w:t>, “New SI: Study on Artificial Intelligence (AI)/Machine Learning (ML) for NR Air Interface”, TSG RAN, RAN#94-e, Dec. 2021</w:t>
      </w:r>
    </w:p>
    <w:p w14:paraId="05C592F9" w14:textId="77777777" w:rsidR="00D10031" w:rsidRPr="00141E1D" w:rsidRDefault="002F75A8" w:rsidP="00D10031">
      <w:pPr>
        <w:pStyle w:val="ListParagraph"/>
        <w:numPr>
          <w:ilvl w:val="0"/>
          <w:numId w:val="8"/>
        </w:numPr>
        <w:spacing w:after="60"/>
        <w:contextualSpacing w:val="0"/>
        <w:rPr>
          <w:rFonts w:ascii="Arial" w:hAnsi="Arial" w:cs="Arial"/>
          <w:szCs w:val="20"/>
        </w:rPr>
      </w:pPr>
      <w:hyperlink r:id="rId12" w:history="1">
        <w:r w:rsidR="00D10031" w:rsidRPr="00141E1D">
          <w:rPr>
            <w:rStyle w:val="Hyperlink"/>
            <w:rFonts w:ascii="Arial" w:hAnsi="Arial" w:cs="Arial"/>
            <w:szCs w:val="20"/>
            <w:lang w:val="en-GB" w:eastAsia="zh-CN"/>
          </w:rPr>
          <w:t>TR 38.843 v18.0.0</w:t>
        </w:r>
      </w:hyperlink>
      <w:r w:rsidR="00D10031" w:rsidRPr="00141E1D">
        <w:rPr>
          <w:rFonts w:ascii="Arial" w:hAnsi="Arial" w:cs="Arial"/>
          <w:szCs w:val="20"/>
          <w:lang w:val="en-GB" w:eastAsia="zh-CN"/>
        </w:rPr>
        <w:t>, “Study on Artificial Intelligence (AI)/Machine Learning (ML) for NR air interface (Release 18),” Dec. 2023</w:t>
      </w:r>
    </w:p>
    <w:p w14:paraId="5A39F9A9" w14:textId="77777777" w:rsidR="00D10031" w:rsidRPr="00141E1D" w:rsidRDefault="002F75A8" w:rsidP="00D10031">
      <w:pPr>
        <w:pStyle w:val="ListParagraph"/>
        <w:numPr>
          <w:ilvl w:val="0"/>
          <w:numId w:val="8"/>
        </w:numPr>
        <w:spacing w:after="60"/>
        <w:contextualSpacing w:val="0"/>
        <w:rPr>
          <w:rFonts w:ascii="Arial" w:hAnsi="Arial" w:cs="Arial"/>
          <w:szCs w:val="20"/>
        </w:rPr>
      </w:pPr>
      <w:hyperlink r:id="rId13" w:history="1">
        <w:r w:rsidR="00D10031" w:rsidRPr="00141E1D">
          <w:rPr>
            <w:rStyle w:val="Hyperlink"/>
            <w:rFonts w:ascii="Arial" w:hAnsi="Arial" w:cs="Arial"/>
          </w:rPr>
          <w:t>RP-234039</w:t>
        </w:r>
      </w:hyperlink>
      <w:r w:rsidR="00D10031" w:rsidRPr="00141E1D">
        <w:rPr>
          <w:rFonts w:ascii="Arial" w:hAnsi="Arial" w:cs="Arial"/>
        </w:rPr>
        <w:t>, New WID on Artificial Intelligence (AI)/Machine Learning (ML) for NR Air Interface, RAN #102, Dec. 2023</w:t>
      </w:r>
    </w:p>
    <w:p w14:paraId="3317ADE4" w14:textId="3E23B899" w:rsidR="00D10031" w:rsidRPr="00141E1D" w:rsidRDefault="00333D80" w:rsidP="00D10031">
      <w:pPr>
        <w:pStyle w:val="ListParagraph"/>
        <w:numPr>
          <w:ilvl w:val="0"/>
          <w:numId w:val="8"/>
        </w:numPr>
        <w:spacing w:after="60"/>
        <w:contextualSpacing w:val="0"/>
        <w:rPr>
          <w:rFonts w:ascii="Arial" w:hAnsi="Arial" w:cs="Arial"/>
          <w:szCs w:val="20"/>
        </w:rPr>
      </w:pPr>
      <w:r w:rsidRPr="00141E1D">
        <w:rPr>
          <w:rFonts w:ascii="Arial" w:hAnsi="Arial" w:cs="Arial"/>
          <w:szCs w:val="20"/>
        </w:rPr>
        <w:t>RNN2</w:t>
      </w:r>
      <w:r w:rsidR="00D10031" w:rsidRPr="00141E1D">
        <w:rPr>
          <w:rFonts w:ascii="Arial" w:hAnsi="Arial" w:cs="Arial"/>
        </w:rPr>
        <w:t>#125bis</w:t>
      </w:r>
      <w:r w:rsidRPr="00141E1D">
        <w:rPr>
          <w:rFonts w:ascii="Arial" w:hAnsi="Arial" w:cs="Arial"/>
        </w:rPr>
        <w:t xml:space="preserve"> meeting report </w:t>
      </w:r>
    </w:p>
    <w:p w14:paraId="364D9222" w14:textId="4B98D121" w:rsidR="00333D80" w:rsidRPr="00141E1D" w:rsidRDefault="00333D80" w:rsidP="00D10031">
      <w:pPr>
        <w:pStyle w:val="ListParagraph"/>
        <w:numPr>
          <w:ilvl w:val="0"/>
          <w:numId w:val="8"/>
        </w:numPr>
        <w:spacing w:after="60"/>
        <w:contextualSpacing w:val="0"/>
        <w:rPr>
          <w:rFonts w:ascii="Arial" w:hAnsi="Arial" w:cs="Arial"/>
          <w:szCs w:val="20"/>
        </w:rPr>
      </w:pPr>
      <w:r w:rsidRPr="00141E1D">
        <w:rPr>
          <w:rFonts w:ascii="Arial" w:hAnsi="Arial" w:cs="Arial"/>
        </w:rPr>
        <w:t>TS 26.531, “Data Collection and Reporting; General Description and Architecture”</w:t>
      </w:r>
    </w:p>
    <w:p w14:paraId="57358531" w14:textId="05C8605A" w:rsidR="00333D80" w:rsidRPr="00141E1D" w:rsidRDefault="00333D80" w:rsidP="00D10031">
      <w:pPr>
        <w:pStyle w:val="ListParagraph"/>
        <w:numPr>
          <w:ilvl w:val="0"/>
          <w:numId w:val="8"/>
        </w:numPr>
        <w:spacing w:after="60"/>
        <w:contextualSpacing w:val="0"/>
        <w:rPr>
          <w:rFonts w:ascii="Arial" w:hAnsi="Arial" w:cs="Arial"/>
          <w:szCs w:val="20"/>
        </w:rPr>
      </w:pPr>
      <w:r w:rsidRPr="00141E1D">
        <w:rPr>
          <w:rFonts w:ascii="Arial" w:hAnsi="Arial" w:cs="Arial"/>
        </w:rPr>
        <w:t>TS 26.532, “Data Collection and Reporting; Protocols and Formats”</w:t>
      </w:r>
    </w:p>
    <w:sectPr w:rsidR="00333D80" w:rsidRPr="00141E1D">
      <w:headerReference w:type="default" r:id="rId1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87386" w14:textId="77777777" w:rsidR="00C71A45" w:rsidRDefault="00C71A45">
      <w:r>
        <w:separator/>
      </w:r>
    </w:p>
  </w:endnote>
  <w:endnote w:type="continuationSeparator" w:id="0">
    <w:p w14:paraId="314CE670" w14:textId="77777777" w:rsidR="00C71A45" w:rsidRDefault="00C71A45">
      <w:r>
        <w:continuationSeparator/>
      </w:r>
    </w:p>
  </w:endnote>
  <w:endnote w:type="continuationNotice" w:id="1">
    <w:p w14:paraId="6E3F724F" w14:textId="77777777" w:rsidR="00C71A45" w:rsidRDefault="00C71A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E9CEF" w14:textId="77777777" w:rsidR="00C71A45" w:rsidRDefault="00C71A45">
      <w:r>
        <w:separator/>
      </w:r>
    </w:p>
  </w:footnote>
  <w:footnote w:type="continuationSeparator" w:id="0">
    <w:p w14:paraId="46488791" w14:textId="77777777" w:rsidR="00C71A45" w:rsidRDefault="00C71A45">
      <w:r>
        <w:continuationSeparator/>
      </w:r>
    </w:p>
  </w:footnote>
  <w:footnote w:type="continuationNotice" w:id="1">
    <w:p w14:paraId="0CD7F608" w14:textId="77777777" w:rsidR="00C71A45" w:rsidRDefault="00C71A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95068"/>
    <w:multiLevelType w:val="hybridMultilevel"/>
    <w:tmpl w:val="FA8C8C4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B7190"/>
    <w:multiLevelType w:val="multilevel"/>
    <w:tmpl w:val="1FCB71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3955288"/>
    <w:multiLevelType w:val="hybridMultilevel"/>
    <w:tmpl w:val="C2CE1154"/>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8683C0F"/>
    <w:multiLevelType w:val="hybridMultilevel"/>
    <w:tmpl w:val="8E8AB870"/>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3B6A7A"/>
    <w:multiLevelType w:val="hybridMultilevel"/>
    <w:tmpl w:val="EA601420"/>
    <w:lvl w:ilvl="0" w:tplc="08EEEC14">
      <w:start w:val="1"/>
      <w:numFmt w:val="decimal"/>
      <w:lvlText w:val="%1."/>
      <w:lvlJc w:val="left"/>
      <w:pPr>
        <w:ind w:left="720" w:hanging="360"/>
      </w:pPr>
      <w:rPr>
        <w:rFonts w:hint="default"/>
      </w:rPr>
    </w:lvl>
    <w:lvl w:ilvl="1" w:tplc="2F0EB502">
      <w:start w:val="1"/>
      <w:numFmt w:val="lowerLetter"/>
      <w:suff w:val="space"/>
      <w:lvlText w:val="1 %2)."/>
      <w:lvlJc w:val="left"/>
      <w:pPr>
        <w:ind w:left="1224" w:hanging="14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6C0433"/>
    <w:multiLevelType w:val="multilevel"/>
    <w:tmpl w:val="78A4999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A1B28D0"/>
    <w:multiLevelType w:val="hybridMultilevel"/>
    <w:tmpl w:val="BD142B88"/>
    <w:lvl w:ilvl="0" w:tplc="88E4FD46">
      <w:start w:val="6"/>
      <w:numFmt w:val="bullet"/>
      <w:lvlText w:val="-"/>
      <w:lvlJc w:val="left"/>
      <w:pPr>
        <w:ind w:left="288" w:hanging="288"/>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25"/>
  </w:num>
  <w:num w:numId="2" w16cid:durableId="1969772336">
    <w:abstractNumId w:val="20"/>
  </w:num>
  <w:num w:numId="3" w16cid:durableId="842671508">
    <w:abstractNumId w:val="8"/>
  </w:num>
  <w:num w:numId="4" w16cid:durableId="552548784">
    <w:abstractNumId w:val="14"/>
  </w:num>
  <w:num w:numId="5" w16cid:durableId="1344934646">
    <w:abstractNumId w:val="9"/>
  </w:num>
  <w:num w:numId="6" w16cid:durableId="1256326568">
    <w:abstractNumId w:val="18"/>
  </w:num>
  <w:num w:numId="7" w16cid:durableId="1609040510">
    <w:abstractNumId w:val="13"/>
  </w:num>
  <w:num w:numId="8" w16cid:durableId="431433011">
    <w:abstractNumId w:val="16"/>
  </w:num>
  <w:num w:numId="9" w16cid:durableId="795678670">
    <w:abstractNumId w:val="17"/>
  </w:num>
  <w:num w:numId="10" w16cid:durableId="851334424">
    <w:abstractNumId w:val="2"/>
  </w:num>
  <w:num w:numId="11" w16cid:durableId="2100440558">
    <w:abstractNumId w:val="19"/>
  </w:num>
  <w:num w:numId="12" w16cid:durableId="1940865448">
    <w:abstractNumId w:val="5"/>
  </w:num>
  <w:num w:numId="13" w16cid:durableId="998191849">
    <w:abstractNumId w:val="10"/>
  </w:num>
  <w:num w:numId="14" w16cid:durableId="2076006532">
    <w:abstractNumId w:val="1"/>
  </w:num>
  <w:num w:numId="15" w16cid:durableId="9526334">
    <w:abstractNumId w:val="26"/>
  </w:num>
  <w:num w:numId="16" w16cid:durableId="228615235">
    <w:abstractNumId w:val="6"/>
  </w:num>
  <w:num w:numId="17" w16cid:durableId="428547677">
    <w:abstractNumId w:val="22"/>
  </w:num>
  <w:num w:numId="18" w16cid:durableId="2064064263">
    <w:abstractNumId w:val="21"/>
  </w:num>
  <w:num w:numId="19" w16cid:durableId="573393142">
    <w:abstractNumId w:val="6"/>
  </w:num>
  <w:num w:numId="20" w16cid:durableId="1721829643">
    <w:abstractNumId w:val="26"/>
  </w:num>
  <w:num w:numId="21" w16cid:durableId="1236086642">
    <w:abstractNumId w:val="22"/>
  </w:num>
  <w:num w:numId="22" w16cid:durableId="581064768">
    <w:abstractNumId w:val="15"/>
  </w:num>
  <w:num w:numId="23" w16cid:durableId="2061241038">
    <w:abstractNumId w:val="12"/>
  </w:num>
  <w:num w:numId="24" w16cid:durableId="2014457368">
    <w:abstractNumId w:val="11"/>
  </w:num>
  <w:num w:numId="25" w16cid:durableId="1541087026">
    <w:abstractNumId w:val="0"/>
  </w:num>
  <w:num w:numId="26" w16cid:durableId="930357639">
    <w:abstractNumId w:val="24"/>
  </w:num>
  <w:num w:numId="27" w16cid:durableId="1779447642">
    <w:abstractNumId w:val="4"/>
  </w:num>
  <w:num w:numId="28" w16cid:durableId="2006204197">
    <w:abstractNumId w:val="7"/>
  </w:num>
  <w:num w:numId="29" w16cid:durableId="995180895">
    <w:abstractNumId w:val="3"/>
  </w:num>
  <w:num w:numId="30" w16cid:durableId="465705650">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2AC"/>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27EEF"/>
    <w:rsid w:val="00030815"/>
    <w:rsid w:val="00030BD6"/>
    <w:rsid w:val="00030DFC"/>
    <w:rsid w:val="00030F28"/>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633"/>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1C"/>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FF"/>
    <w:rsid w:val="00045A9B"/>
    <w:rsid w:val="00045AC1"/>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2C8"/>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0E1"/>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3B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06"/>
    <w:rsid w:val="0013361D"/>
    <w:rsid w:val="00133EF9"/>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1E1D"/>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29B"/>
    <w:rsid w:val="0016647D"/>
    <w:rsid w:val="0016663D"/>
    <w:rsid w:val="00166941"/>
    <w:rsid w:val="00166ACF"/>
    <w:rsid w:val="00166AE0"/>
    <w:rsid w:val="00167384"/>
    <w:rsid w:val="00167535"/>
    <w:rsid w:val="001678FF"/>
    <w:rsid w:val="001679F6"/>
    <w:rsid w:val="00167A0C"/>
    <w:rsid w:val="00167B82"/>
    <w:rsid w:val="00167C0C"/>
    <w:rsid w:val="00167DCF"/>
    <w:rsid w:val="00167E3C"/>
    <w:rsid w:val="00167F4E"/>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8B8"/>
    <w:rsid w:val="00194C1C"/>
    <w:rsid w:val="00194F91"/>
    <w:rsid w:val="0019500E"/>
    <w:rsid w:val="0019510E"/>
    <w:rsid w:val="001951F9"/>
    <w:rsid w:val="00195705"/>
    <w:rsid w:val="00195D95"/>
    <w:rsid w:val="00195DDD"/>
    <w:rsid w:val="001961CD"/>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9E7"/>
    <w:rsid w:val="001A2C5C"/>
    <w:rsid w:val="001A2E27"/>
    <w:rsid w:val="001A3119"/>
    <w:rsid w:val="001A3353"/>
    <w:rsid w:val="001A362D"/>
    <w:rsid w:val="001A36BC"/>
    <w:rsid w:val="001A3BCE"/>
    <w:rsid w:val="001A3F69"/>
    <w:rsid w:val="001A416F"/>
    <w:rsid w:val="001A41E2"/>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5948"/>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6D7"/>
    <w:rsid w:val="00230EF1"/>
    <w:rsid w:val="002311B9"/>
    <w:rsid w:val="0023129F"/>
    <w:rsid w:val="0023157F"/>
    <w:rsid w:val="0023191A"/>
    <w:rsid w:val="00231973"/>
    <w:rsid w:val="00231CDE"/>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2FB"/>
    <w:rsid w:val="00241615"/>
    <w:rsid w:val="00241B90"/>
    <w:rsid w:val="00241C61"/>
    <w:rsid w:val="00241EA1"/>
    <w:rsid w:val="002421B4"/>
    <w:rsid w:val="002424C3"/>
    <w:rsid w:val="002426BE"/>
    <w:rsid w:val="002427BF"/>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A8"/>
    <w:rsid w:val="002F75F5"/>
    <w:rsid w:val="002F776A"/>
    <w:rsid w:val="002F79C9"/>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3D80"/>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438"/>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F0A"/>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189"/>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2F8"/>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EF0"/>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97E97"/>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77E"/>
    <w:rsid w:val="004D7879"/>
    <w:rsid w:val="004D7BDB"/>
    <w:rsid w:val="004D7C05"/>
    <w:rsid w:val="004D7C70"/>
    <w:rsid w:val="004E01F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606"/>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9C5"/>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1E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0DE"/>
    <w:rsid w:val="005E24E1"/>
    <w:rsid w:val="005E2833"/>
    <w:rsid w:val="005E2FB4"/>
    <w:rsid w:val="005E33A7"/>
    <w:rsid w:val="005E35D7"/>
    <w:rsid w:val="005E39B6"/>
    <w:rsid w:val="005E3E54"/>
    <w:rsid w:val="005E408A"/>
    <w:rsid w:val="005E436D"/>
    <w:rsid w:val="005E4C97"/>
    <w:rsid w:val="005E5278"/>
    <w:rsid w:val="005E5523"/>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35D"/>
    <w:rsid w:val="006133E1"/>
    <w:rsid w:val="006135BF"/>
    <w:rsid w:val="006138D7"/>
    <w:rsid w:val="00613C07"/>
    <w:rsid w:val="00614076"/>
    <w:rsid w:val="0061495C"/>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878"/>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4FD"/>
    <w:rsid w:val="006377B9"/>
    <w:rsid w:val="00637F9A"/>
    <w:rsid w:val="00640177"/>
    <w:rsid w:val="006403A2"/>
    <w:rsid w:val="006403F7"/>
    <w:rsid w:val="00640818"/>
    <w:rsid w:val="0064129A"/>
    <w:rsid w:val="006412F8"/>
    <w:rsid w:val="00641CA2"/>
    <w:rsid w:val="00641F48"/>
    <w:rsid w:val="00642285"/>
    <w:rsid w:val="0064237B"/>
    <w:rsid w:val="006423B8"/>
    <w:rsid w:val="006426A0"/>
    <w:rsid w:val="00642979"/>
    <w:rsid w:val="006429E4"/>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428"/>
    <w:rsid w:val="006704F9"/>
    <w:rsid w:val="00670843"/>
    <w:rsid w:val="006709B2"/>
    <w:rsid w:val="006709E5"/>
    <w:rsid w:val="00670F54"/>
    <w:rsid w:val="006713AE"/>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27"/>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0BF"/>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DD6"/>
    <w:rsid w:val="006C5FF0"/>
    <w:rsid w:val="006C6206"/>
    <w:rsid w:val="006C65E2"/>
    <w:rsid w:val="006C681E"/>
    <w:rsid w:val="006C6AB1"/>
    <w:rsid w:val="006C703C"/>
    <w:rsid w:val="006C70DA"/>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C7E69"/>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4BF"/>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67B"/>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6F22"/>
    <w:rsid w:val="008C70AD"/>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BD2"/>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98C"/>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3E0"/>
    <w:rsid w:val="00913977"/>
    <w:rsid w:val="00913A19"/>
    <w:rsid w:val="009141D1"/>
    <w:rsid w:val="00914203"/>
    <w:rsid w:val="00914281"/>
    <w:rsid w:val="00914293"/>
    <w:rsid w:val="00914376"/>
    <w:rsid w:val="00914A29"/>
    <w:rsid w:val="00914C87"/>
    <w:rsid w:val="00914D6E"/>
    <w:rsid w:val="0091503B"/>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30"/>
    <w:rsid w:val="009312E2"/>
    <w:rsid w:val="00931A98"/>
    <w:rsid w:val="00931FA8"/>
    <w:rsid w:val="00931FC8"/>
    <w:rsid w:val="009321E6"/>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959"/>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47E81"/>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514"/>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0D92"/>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366"/>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23D"/>
    <w:rsid w:val="009F4867"/>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0FF9"/>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BF6"/>
    <w:rsid w:val="00A84F47"/>
    <w:rsid w:val="00A85339"/>
    <w:rsid w:val="00A854F8"/>
    <w:rsid w:val="00A85681"/>
    <w:rsid w:val="00A85CE6"/>
    <w:rsid w:val="00A8649D"/>
    <w:rsid w:val="00A86C61"/>
    <w:rsid w:val="00A87139"/>
    <w:rsid w:val="00A876D8"/>
    <w:rsid w:val="00A877AD"/>
    <w:rsid w:val="00A87B07"/>
    <w:rsid w:val="00A87B77"/>
    <w:rsid w:val="00A87E80"/>
    <w:rsid w:val="00A9048A"/>
    <w:rsid w:val="00A9062C"/>
    <w:rsid w:val="00A906D2"/>
    <w:rsid w:val="00A90D43"/>
    <w:rsid w:val="00A90E2A"/>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FCC"/>
    <w:rsid w:val="00AB10AE"/>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6BB7"/>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EEE"/>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1109"/>
    <w:rsid w:val="00AD1123"/>
    <w:rsid w:val="00AD1606"/>
    <w:rsid w:val="00AD1681"/>
    <w:rsid w:val="00AD1BF6"/>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45A8"/>
    <w:rsid w:val="00B246E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97E"/>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45"/>
    <w:rsid w:val="00C71ACC"/>
    <w:rsid w:val="00C7204A"/>
    <w:rsid w:val="00C7223D"/>
    <w:rsid w:val="00C724E8"/>
    <w:rsid w:val="00C727DD"/>
    <w:rsid w:val="00C72D24"/>
    <w:rsid w:val="00C7301F"/>
    <w:rsid w:val="00C7308F"/>
    <w:rsid w:val="00C73957"/>
    <w:rsid w:val="00C73C53"/>
    <w:rsid w:val="00C73C69"/>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D3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865"/>
    <w:rsid w:val="00C83E5E"/>
    <w:rsid w:val="00C84604"/>
    <w:rsid w:val="00C8552C"/>
    <w:rsid w:val="00C855E9"/>
    <w:rsid w:val="00C856C4"/>
    <w:rsid w:val="00C856DD"/>
    <w:rsid w:val="00C85A1F"/>
    <w:rsid w:val="00C85EC0"/>
    <w:rsid w:val="00C85EF1"/>
    <w:rsid w:val="00C8654C"/>
    <w:rsid w:val="00C867A6"/>
    <w:rsid w:val="00C86893"/>
    <w:rsid w:val="00C86E36"/>
    <w:rsid w:val="00C8776C"/>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3A61"/>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625"/>
    <w:rsid w:val="00D06797"/>
    <w:rsid w:val="00D06C35"/>
    <w:rsid w:val="00D06CC9"/>
    <w:rsid w:val="00D06F3F"/>
    <w:rsid w:val="00D0736C"/>
    <w:rsid w:val="00D0740D"/>
    <w:rsid w:val="00D07520"/>
    <w:rsid w:val="00D076AE"/>
    <w:rsid w:val="00D07A39"/>
    <w:rsid w:val="00D07B88"/>
    <w:rsid w:val="00D10031"/>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127E"/>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15F9"/>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4F7D"/>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5F"/>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5AC"/>
    <w:rsid w:val="00DB7960"/>
    <w:rsid w:val="00DB7A5C"/>
    <w:rsid w:val="00DB7C90"/>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938"/>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5CEC"/>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486"/>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5EF"/>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122"/>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2FAB"/>
    <w:rsid w:val="00EE3142"/>
    <w:rsid w:val="00EE3B8A"/>
    <w:rsid w:val="00EE3C4B"/>
    <w:rsid w:val="00EE3D57"/>
    <w:rsid w:val="00EE3E20"/>
    <w:rsid w:val="00EE3EEA"/>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C3C"/>
    <w:rsid w:val="00F17D32"/>
    <w:rsid w:val="00F203A7"/>
    <w:rsid w:val="00F2044D"/>
    <w:rsid w:val="00F20579"/>
    <w:rsid w:val="00F20738"/>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CB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921"/>
    <w:rsid w:val="00F56C09"/>
    <w:rsid w:val="00F56E8D"/>
    <w:rsid w:val="00F56FFD"/>
    <w:rsid w:val="00F57014"/>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AA4"/>
    <w:rsid w:val="00F74CD7"/>
    <w:rsid w:val="00F750DA"/>
    <w:rsid w:val="00F75263"/>
    <w:rsid w:val="00F753DA"/>
    <w:rsid w:val="00F75D01"/>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03"/>
    <w:rsid w:val="00F81B8B"/>
    <w:rsid w:val="00F81C53"/>
    <w:rsid w:val="00F81DDB"/>
    <w:rsid w:val="00F820E8"/>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1FA"/>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740D0B8B-4C88-45B2-96ED-EEE9AC823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0738"/>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57770641">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73432089">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5899867">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19288397">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79394481">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2/Info_for_workplan/new_approved_WID_12/RAN1_5/RP-23403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843/38843-i0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4EA7B5-296B-4B27-808D-5F54C91B2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purl.org/dc/terms/"/>
    <ds:schemaRef ds:uri="1c6e7719-fcdf-43d9-93c1-f401bd4c4107"/>
    <ds:schemaRef ds:uri="http://schemas.microsoft.com/office/2006/documentManagement/types"/>
    <ds:schemaRef ds:uri="http://www.w3.org/XML/1998/namespac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a3e265ce-35e5-406a-a577-2d283f2c1c3a"/>
    <ds:schemaRef ds:uri="http://purl.org/dc/elements/1.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2134</TotalTime>
  <Pages>8</Pages>
  <Words>2635</Words>
  <Characters>14661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46</cp:revision>
  <cp:lastPrinted>2011-08-03T08:36:00Z</cp:lastPrinted>
  <dcterms:created xsi:type="dcterms:W3CDTF">2024-03-31T16:04:00Z</dcterms:created>
  <dcterms:modified xsi:type="dcterms:W3CDTF">2024-05-13T16:48:00Z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